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1B3F" w14:textId="77777777" w:rsidR="00E20599" w:rsidRPr="006E39F1" w:rsidRDefault="00E20599" w:rsidP="00E20599">
      <w:pPr>
        <w:spacing w:line="240" w:lineRule="auto"/>
        <w:jc w:val="center"/>
        <w:rPr>
          <w:rFonts w:ascii="Times New Roman" w:eastAsia="Aptos" w:hAnsi="Times New Roman" w:cs="Times New Roman"/>
          <w:b/>
          <w:bCs/>
        </w:rPr>
      </w:pPr>
      <w:r w:rsidRPr="006E39F1">
        <w:rPr>
          <w:rFonts w:ascii="Times New Roman" w:eastAsia="Aptos" w:hAnsi="Times New Roman" w:cs="Times New Roman"/>
          <w:b/>
          <w:bCs/>
        </w:rPr>
        <w:t>Arts and Sciences Curriculum Committee</w:t>
      </w:r>
    </w:p>
    <w:p w14:paraId="6E970891" w14:textId="514D30C4" w:rsidR="00E20599" w:rsidRPr="006E39F1" w:rsidRDefault="00524116" w:rsidP="00E20599">
      <w:pPr>
        <w:spacing w:line="240" w:lineRule="auto"/>
        <w:jc w:val="center"/>
        <w:rPr>
          <w:rFonts w:ascii="Times New Roman" w:eastAsia="Aptos" w:hAnsi="Times New Roman" w:cs="Times New Roman"/>
        </w:rPr>
      </w:pPr>
      <w:r>
        <w:rPr>
          <w:rFonts w:ascii="Times New Roman" w:eastAsia="Aptos" w:hAnsi="Times New Roman" w:cs="Times New Roman"/>
        </w:rPr>
        <w:t>Unapproved</w:t>
      </w:r>
      <w:r w:rsidR="00E20599" w:rsidRPr="006E39F1">
        <w:rPr>
          <w:rFonts w:ascii="Times New Roman" w:eastAsia="Aptos" w:hAnsi="Times New Roman" w:cs="Times New Roman"/>
        </w:rPr>
        <w:t xml:space="preserve"> Minutes</w:t>
      </w:r>
    </w:p>
    <w:p w14:paraId="333083DC" w14:textId="59999B31" w:rsidR="00E20599" w:rsidRPr="006E39F1" w:rsidRDefault="00E20599" w:rsidP="00E20599">
      <w:pPr>
        <w:spacing w:line="240" w:lineRule="auto"/>
        <w:rPr>
          <w:rFonts w:ascii="Times New Roman" w:eastAsia="Aptos" w:hAnsi="Times New Roman" w:cs="Times New Roman"/>
        </w:rPr>
      </w:pPr>
      <w:r w:rsidRPr="006E39F1">
        <w:rPr>
          <w:rFonts w:ascii="Times New Roman" w:eastAsia="Aptos" w:hAnsi="Times New Roman" w:cs="Times New Roman"/>
        </w:rPr>
        <w:t>Friday, November 21</w:t>
      </w:r>
      <w:r w:rsidRPr="006E39F1">
        <w:rPr>
          <w:rFonts w:ascii="Times New Roman" w:eastAsia="Aptos" w:hAnsi="Times New Roman" w:cs="Times New Roman"/>
          <w:vertAlign w:val="superscript"/>
        </w:rPr>
        <w:t>st</w:t>
      </w:r>
      <w:r w:rsidRPr="006E39F1">
        <w:rPr>
          <w:rFonts w:ascii="Times New Roman" w:eastAsia="Aptos" w:hAnsi="Times New Roman" w:cs="Times New Roman"/>
        </w:rPr>
        <w:t>, 2025</w:t>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r>
      <w:r w:rsidRPr="006E39F1">
        <w:rPr>
          <w:rFonts w:ascii="Times New Roman" w:eastAsia="Aptos" w:hAnsi="Times New Roman" w:cs="Times New Roman"/>
        </w:rPr>
        <w:tab/>
        <w:t xml:space="preserve">               9:00AM – 11:00AM</w:t>
      </w:r>
    </w:p>
    <w:p w14:paraId="673F5906" w14:textId="24686EB0" w:rsidR="00E20599" w:rsidRPr="006E39F1" w:rsidRDefault="00E20599" w:rsidP="00E20599">
      <w:pPr>
        <w:spacing w:line="240" w:lineRule="auto"/>
        <w:rPr>
          <w:rFonts w:ascii="Times New Roman" w:eastAsia="Aptos" w:hAnsi="Times New Roman" w:cs="Times New Roman"/>
        </w:rPr>
      </w:pPr>
      <w:r w:rsidRPr="006E39F1">
        <w:rPr>
          <w:rFonts w:ascii="Times New Roman" w:eastAsia="Aptos" w:hAnsi="Times New Roman" w:cs="Times New Roman"/>
        </w:rPr>
        <w:t xml:space="preserve">University 386B </w:t>
      </w:r>
    </w:p>
    <w:p w14:paraId="04472DAD" w14:textId="6D5918CD" w:rsidR="00E20599" w:rsidRPr="006E39F1" w:rsidRDefault="00E20599" w:rsidP="00E20599">
      <w:pPr>
        <w:rPr>
          <w:rFonts w:ascii="Times New Roman" w:eastAsia="Aptos" w:hAnsi="Times New Roman" w:cs="Times New Roman"/>
        </w:rPr>
      </w:pPr>
      <w:r w:rsidRPr="006E39F1">
        <w:rPr>
          <w:rFonts w:ascii="Times New Roman" w:eastAsia="Aptos" w:hAnsi="Times New Roman" w:cs="Times New Roman"/>
          <w:b/>
          <w:bCs/>
        </w:rPr>
        <w:t>Attendees</w:t>
      </w:r>
      <w:r w:rsidRPr="006E39F1">
        <w:rPr>
          <w:rFonts w:ascii="Times New Roman" w:eastAsia="Aptos" w:hAnsi="Times New Roman" w:cs="Times New Roman"/>
        </w:rPr>
        <w:t>: Bitters, Chamberlain, Dwyer, Heckler, Hedgecoth, Lee, Martin, Miriti, Nagar, Neff, Pradhan, Romero, Sanabria, Sims, Smith, Staley, Steele, Vankeerbergen, Xiao</w:t>
      </w:r>
    </w:p>
    <w:p w14:paraId="3F507083" w14:textId="28475FAC" w:rsidR="00E20599" w:rsidRPr="006E39F1" w:rsidRDefault="00E20599" w:rsidP="00E20599">
      <w:pPr>
        <w:rPr>
          <w:rFonts w:ascii="Times New Roman" w:eastAsia="Aptos" w:hAnsi="Times New Roman" w:cs="Times New Roman"/>
          <w:b/>
          <w:bCs/>
        </w:rPr>
      </w:pPr>
      <w:r w:rsidRPr="006E39F1">
        <w:rPr>
          <w:rFonts w:ascii="Times New Roman" w:eastAsia="Aptos" w:hAnsi="Times New Roman" w:cs="Times New Roman"/>
          <w:b/>
          <w:bCs/>
        </w:rPr>
        <w:t>Agenda</w:t>
      </w:r>
    </w:p>
    <w:p w14:paraId="54E174E4" w14:textId="77777777" w:rsidR="002F4E2A"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Approval of 10/24/2025 minutes</w:t>
      </w:r>
    </w:p>
    <w:p w14:paraId="7DFBCFDE" w14:textId="148C888A" w:rsidR="003A1AD3" w:rsidRPr="006E39F1" w:rsidRDefault="00FB09A7" w:rsidP="003A1AD3">
      <w:pPr>
        <w:pStyle w:val="ListParagraph"/>
        <w:numPr>
          <w:ilvl w:val="1"/>
          <w:numId w:val="3"/>
        </w:numPr>
        <w:rPr>
          <w:rFonts w:ascii="Times New Roman" w:hAnsi="Times New Roman" w:cs="Times New Roman"/>
        </w:rPr>
      </w:pPr>
      <w:r>
        <w:rPr>
          <w:rFonts w:ascii="Times New Roman" w:hAnsi="Times New Roman" w:cs="Times New Roman"/>
        </w:rPr>
        <w:t xml:space="preserve">Staley, Romero; approved with three abstentions. </w:t>
      </w:r>
    </w:p>
    <w:p w14:paraId="684E37E0"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Stackable Certificates (Guest: Maria Miriti)</w:t>
      </w:r>
    </w:p>
    <w:p w14:paraId="229D8E38" w14:textId="2DF264E1" w:rsidR="007859C4" w:rsidRPr="006E39F1" w:rsidRDefault="002F4E2A" w:rsidP="002F4E2A">
      <w:pPr>
        <w:pStyle w:val="ListParagraph"/>
        <w:numPr>
          <w:ilvl w:val="1"/>
          <w:numId w:val="3"/>
        </w:numPr>
        <w:rPr>
          <w:rFonts w:ascii="Times New Roman" w:hAnsi="Times New Roman" w:cs="Times New Roman"/>
        </w:rPr>
      </w:pPr>
      <w:r w:rsidRPr="006E39F1">
        <w:rPr>
          <w:rFonts w:ascii="Times New Roman" w:hAnsi="Times New Roman" w:cs="Times New Roman"/>
        </w:rPr>
        <w:t>Miriti: There has been an effort to make certificates stackable toward a master’s degree</w:t>
      </w:r>
      <w:r w:rsidR="00524116">
        <w:rPr>
          <w:rFonts w:ascii="Times New Roman" w:hAnsi="Times New Roman" w:cs="Times New Roman"/>
        </w:rPr>
        <w:t>.  This initiative</w:t>
      </w:r>
      <w:r w:rsidRPr="006E39F1">
        <w:rPr>
          <w:rFonts w:ascii="Times New Roman" w:hAnsi="Times New Roman" w:cs="Times New Roman"/>
        </w:rPr>
        <w:t xml:space="preserve"> has been in progress for several years, starting when the university began exploring micro-credentials. The idea is that students can complete more than one </w:t>
      </w:r>
      <w:r w:rsidR="00735D7E" w:rsidRPr="006E39F1">
        <w:rPr>
          <w:rFonts w:ascii="Times New Roman" w:hAnsi="Times New Roman" w:cs="Times New Roman"/>
        </w:rPr>
        <w:t xml:space="preserve">certificate </w:t>
      </w:r>
      <w:r w:rsidRPr="006E39F1">
        <w:rPr>
          <w:rFonts w:ascii="Times New Roman" w:hAnsi="Times New Roman" w:cs="Times New Roman"/>
        </w:rPr>
        <w:t>that consists of courses eligible toward an existing master’s degree. Some programs would require a</w:t>
      </w:r>
      <w:r w:rsidR="00735D7E" w:rsidRPr="006E39F1">
        <w:rPr>
          <w:rFonts w:ascii="Times New Roman" w:hAnsi="Times New Roman" w:cs="Times New Roman"/>
        </w:rPr>
        <w:t>n additional</w:t>
      </w:r>
      <w:r w:rsidRPr="006E39F1">
        <w:rPr>
          <w:rFonts w:ascii="Times New Roman" w:hAnsi="Times New Roman" w:cs="Times New Roman"/>
        </w:rPr>
        <w:t xml:space="preserve"> capstone</w:t>
      </w:r>
      <w:r w:rsidR="00735D7E" w:rsidRPr="006E39F1">
        <w:rPr>
          <w:rFonts w:ascii="Times New Roman" w:hAnsi="Times New Roman" w:cs="Times New Roman"/>
        </w:rPr>
        <w:t xml:space="preserve"> course</w:t>
      </w:r>
      <w:r w:rsidRPr="006E39F1">
        <w:rPr>
          <w:rFonts w:ascii="Times New Roman" w:hAnsi="Times New Roman" w:cs="Times New Roman"/>
        </w:rPr>
        <w:t xml:space="preserve">. Each </w:t>
      </w:r>
      <w:r w:rsidR="007859C4" w:rsidRPr="006E39F1">
        <w:rPr>
          <w:rFonts w:ascii="Times New Roman" w:hAnsi="Times New Roman" w:cs="Times New Roman"/>
        </w:rPr>
        <w:t xml:space="preserve">stackable </w:t>
      </w:r>
      <w:r w:rsidRPr="006E39F1">
        <w:rPr>
          <w:rFonts w:ascii="Times New Roman" w:hAnsi="Times New Roman" w:cs="Times New Roman"/>
        </w:rPr>
        <w:t>certificate must function as a meaningful, marketable credential, not simply a way to “stretch out” a master’s degree</w:t>
      </w:r>
      <w:r w:rsidR="007859C4" w:rsidRPr="006E39F1">
        <w:rPr>
          <w:rFonts w:ascii="Times New Roman" w:hAnsi="Times New Roman" w:cs="Times New Roman"/>
        </w:rPr>
        <w:t xml:space="preserve"> over a longer period of time</w:t>
      </w:r>
      <w:r w:rsidRPr="006E39F1">
        <w:rPr>
          <w:rFonts w:ascii="Times New Roman" w:hAnsi="Times New Roman" w:cs="Times New Roman"/>
        </w:rPr>
        <w:t xml:space="preserve">. </w:t>
      </w:r>
    </w:p>
    <w:p w14:paraId="134FCC9B" w14:textId="77777777" w:rsidR="007859C4" w:rsidRPr="006E39F1" w:rsidRDefault="007859C4" w:rsidP="007859C4">
      <w:pPr>
        <w:pStyle w:val="ListParagraph"/>
        <w:ind w:left="1800"/>
        <w:rPr>
          <w:rFonts w:ascii="Times New Roman" w:hAnsi="Times New Roman" w:cs="Times New Roman"/>
        </w:rPr>
      </w:pPr>
    </w:p>
    <w:p w14:paraId="18797237" w14:textId="77777777" w:rsidR="00A60442" w:rsidRPr="006E39F1" w:rsidRDefault="002F4E2A" w:rsidP="007859C4">
      <w:pPr>
        <w:pStyle w:val="ListParagraph"/>
        <w:ind w:left="1800"/>
        <w:rPr>
          <w:rFonts w:ascii="Times New Roman" w:hAnsi="Times New Roman" w:cs="Times New Roman"/>
        </w:rPr>
      </w:pPr>
      <w:r w:rsidRPr="006E39F1">
        <w:rPr>
          <w:rFonts w:ascii="Times New Roman" w:hAnsi="Times New Roman" w:cs="Times New Roman"/>
        </w:rPr>
        <w:t>Financial aid is a concern with this</w:t>
      </w:r>
      <w:r w:rsidR="007859C4" w:rsidRPr="006E39F1">
        <w:rPr>
          <w:rFonts w:ascii="Times New Roman" w:hAnsi="Times New Roman" w:cs="Times New Roman"/>
        </w:rPr>
        <w:t xml:space="preserve"> path</w:t>
      </w:r>
      <w:r w:rsidRPr="006E39F1">
        <w:rPr>
          <w:rFonts w:ascii="Times New Roman" w:hAnsi="Times New Roman" w:cs="Times New Roman"/>
        </w:rPr>
        <w:t>, since non-degree students are not eligible. There are two ways this could be addressed: (1) students could enroll in a degree program and take stackable certificates while progressing, so if they pause the degree they still earn the credential; and (2)</w:t>
      </w:r>
      <w:r w:rsidR="005B02A1" w:rsidRPr="006E39F1">
        <w:rPr>
          <w:rFonts w:ascii="Times New Roman" w:hAnsi="Times New Roman" w:cs="Times New Roman"/>
        </w:rPr>
        <w:t xml:space="preserve"> industry professionals may enroll in courses independently, often with financial support from their employers</w:t>
      </w:r>
      <w:r w:rsidRPr="006E39F1">
        <w:rPr>
          <w:rFonts w:ascii="Times New Roman" w:hAnsi="Times New Roman" w:cs="Times New Roman"/>
        </w:rPr>
        <w:t xml:space="preserve">. </w:t>
      </w:r>
    </w:p>
    <w:p w14:paraId="7B57F0EF" w14:textId="77777777" w:rsidR="00A60442" w:rsidRPr="006E39F1" w:rsidRDefault="00A60442" w:rsidP="007859C4">
      <w:pPr>
        <w:pStyle w:val="ListParagraph"/>
        <w:ind w:left="1800"/>
        <w:rPr>
          <w:rFonts w:ascii="Times New Roman" w:hAnsi="Times New Roman" w:cs="Times New Roman"/>
        </w:rPr>
      </w:pPr>
    </w:p>
    <w:p w14:paraId="449F045B" w14:textId="0B31A55B" w:rsidR="002F4E2A" w:rsidRPr="006E39F1" w:rsidRDefault="002F4E2A" w:rsidP="007859C4">
      <w:pPr>
        <w:pStyle w:val="ListParagraph"/>
        <w:ind w:left="1800"/>
        <w:rPr>
          <w:rFonts w:ascii="Times New Roman" w:hAnsi="Times New Roman" w:cs="Times New Roman"/>
        </w:rPr>
      </w:pPr>
      <w:r w:rsidRPr="006E39F1">
        <w:rPr>
          <w:rFonts w:ascii="Times New Roman" w:hAnsi="Times New Roman" w:cs="Times New Roman"/>
        </w:rPr>
        <w:t>Advising will be important, especially for students entering a thesis track, to ensure they are gaining research and writing skills needed for the capstone. It is also critical to communicate that completing two certificates does not automatically confer a master’s degree. Students must formally apply and be admitted into the master’s program. Credits accumulated through certificates and the capstone must also adhere to Graduate School rules, including enrollment in at least three credits for degree conferral, and we want to ensure students following the stackable pathway remain competitive with traditional applicants.</w:t>
      </w:r>
    </w:p>
    <w:p w14:paraId="214E06A5" w14:textId="77777777"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Martin: Are you seeing particular areas most interested in pursuing stackable certificates?</w:t>
      </w:r>
    </w:p>
    <w:p w14:paraId="4C97F8BF" w14:textId="4EE85895"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lastRenderedPageBreak/>
        <w:t>Miriti: There is interest from Fisher College of Business and the College of Engineering. Several of their programs already have strong industry partnerships, and this model is common at peer institutions.</w:t>
      </w:r>
    </w:p>
    <w:p w14:paraId="43F96E87" w14:textId="2168A3CD"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Committee member: If Fisher moves forward</w:t>
      </w:r>
      <w:r w:rsidR="00F77E21" w:rsidRPr="006E39F1">
        <w:rPr>
          <w:rFonts w:ascii="Times New Roman" w:hAnsi="Times New Roman" w:cs="Times New Roman"/>
        </w:rPr>
        <w:t xml:space="preserve"> with this</w:t>
      </w:r>
      <w:r w:rsidRPr="006E39F1">
        <w:rPr>
          <w:rFonts w:ascii="Times New Roman" w:hAnsi="Times New Roman" w:cs="Times New Roman"/>
        </w:rPr>
        <w:t>, could a student stack certificates to earn an MBA?</w:t>
      </w:r>
    </w:p>
    <w:p w14:paraId="7D2EA06F" w14:textId="6FC3C214"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Yes.</w:t>
      </w:r>
    </w:p>
    <w:p w14:paraId="1F91B3BE" w14:textId="11B15A98" w:rsidR="00065FD8" w:rsidRPr="006E39F1" w:rsidRDefault="00065FD8" w:rsidP="00CA0895">
      <w:pPr>
        <w:pStyle w:val="ListParagraph"/>
        <w:numPr>
          <w:ilvl w:val="2"/>
          <w:numId w:val="3"/>
        </w:numPr>
        <w:rPr>
          <w:rFonts w:ascii="Times New Roman" w:hAnsi="Times New Roman" w:cs="Times New Roman"/>
        </w:rPr>
      </w:pPr>
      <w:r w:rsidRPr="006E39F1">
        <w:rPr>
          <w:rFonts w:ascii="Times New Roman" w:hAnsi="Times New Roman" w:cs="Times New Roman"/>
        </w:rPr>
        <w:t xml:space="preserve">Nagar: </w:t>
      </w:r>
      <w:r w:rsidR="00F77E21" w:rsidRPr="006E39F1">
        <w:rPr>
          <w:rFonts w:ascii="Times New Roman" w:hAnsi="Times New Roman" w:cs="Times New Roman"/>
        </w:rPr>
        <w:t>As an example, c</w:t>
      </w:r>
      <w:r w:rsidRPr="006E39F1">
        <w:rPr>
          <w:rFonts w:ascii="Times New Roman" w:hAnsi="Times New Roman" w:cs="Times New Roman"/>
        </w:rPr>
        <w:t>ould a student complete a certificate in finance and a certificate in accounting, complete a capstone, and receive an MBA?</w:t>
      </w:r>
    </w:p>
    <w:p w14:paraId="00CDB57E" w14:textId="3F0AC6E6"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 xml:space="preserve">Miriti: </w:t>
      </w:r>
      <w:r w:rsidR="00DB6420" w:rsidRPr="006E39F1">
        <w:rPr>
          <w:rFonts w:ascii="Times New Roman" w:hAnsi="Times New Roman" w:cs="Times New Roman"/>
        </w:rPr>
        <w:t>Yes,</w:t>
      </w:r>
      <w:r w:rsidRPr="006E39F1">
        <w:rPr>
          <w:rFonts w:ascii="Times New Roman" w:hAnsi="Times New Roman" w:cs="Times New Roman"/>
        </w:rPr>
        <w:t xml:space="preserve"> although the master’s degree must already exist. We are not creating new degrees through this model.</w:t>
      </w:r>
    </w:p>
    <w:p w14:paraId="6A01B9FE" w14:textId="476DE3AB"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 xml:space="preserve">Vankeerbergen: </w:t>
      </w:r>
      <w:r w:rsidR="00524116">
        <w:rPr>
          <w:rFonts w:ascii="Times New Roman" w:hAnsi="Times New Roman" w:cs="Times New Roman"/>
        </w:rPr>
        <w:t>For any given program, could there be some students</w:t>
      </w:r>
      <w:r w:rsidRPr="006E39F1">
        <w:rPr>
          <w:rFonts w:ascii="Times New Roman" w:hAnsi="Times New Roman" w:cs="Times New Roman"/>
        </w:rPr>
        <w:t xml:space="preserve"> be enrolled in a traditional master’s program </w:t>
      </w:r>
      <w:r w:rsidR="00524116">
        <w:rPr>
          <w:rFonts w:ascii="Times New Roman" w:hAnsi="Times New Roman" w:cs="Times New Roman"/>
        </w:rPr>
        <w:t>at the same time as others who are</w:t>
      </w:r>
      <w:r w:rsidRPr="006E39F1">
        <w:rPr>
          <w:rFonts w:ascii="Times New Roman" w:hAnsi="Times New Roman" w:cs="Times New Roman"/>
        </w:rPr>
        <w:t xml:space="preserve"> completing </w:t>
      </w:r>
      <w:r w:rsidR="00524116">
        <w:rPr>
          <w:rFonts w:ascii="Times New Roman" w:hAnsi="Times New Roman" w:cs="Times New Roman"/>
        </w:rPr>
        <w:t xml:space="preserve">the program via </w:t>
      </w:r>
      <w:r w:rsidRPr="006E39F1">
        <w:rPr>
          <w:rFonts w:ascii="Times New Roman" w:hAnsi="Times New Roman" w:cs="Times New Roman"/>
        </w:rPr>
        <w:t>certificates?</w:t>
      </w:r>
    </w:p>
    <w:p w14:paraId="6EB85D4A" w14:textId="1CAE6913"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Yes.</w:t>
      </w:r>
    </w:p>
    <w:p w14:paraId="426BB423" w14:textId="6171756A"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Committee member: How would the path of a traditional master’s student differ from someone using stackable certificates to reach the same degree?</w:t>
      </w:r>
    </w:p>
    <w:p w14:paraId="31DFDAC4" w14:textId="4E7FB8B4"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Stackable-certificate students are typically employed and not full-time. Certificates are</w:t>
      </w:r>
      <w:r w:rsidR="00CA0895" w:rsidRPr="006E39F1">
        <w:rPr>
          <w:rFonts w:ascii="Times New Roman" w:hAnsi="Times New Roman" w:cs="Times New Roman"/>
        </w:rPr>
        <w:t xml:space="preserve"> no</w:t>
      </w:r>
      <w:r w:rsidRPr="006E39F1">
        <w:rPr>
          <w:rFonts w:ascii="Times New Roman" w:hAnsi="Times New Roman" w:cs="Times New Roman"/>
        </w:rPr>
        <w:t>t locked into a specific sequence; students proceed based on interest and financial capacity. If they take a pause, they still leave with a meaningful credential.</w:t>
      </w:r>
    </w:p>
    <w:p w14:paraId="37AC7CAB" w14:textId="1AE523B6" w:rsidR="00065FD8" w:rsidRPr="006E39F1" w:rsidRDefault="00065FD8" w:rsidP="00CA0895">
      <w:pPr>
        <w:pStyle w:val="ListParagraph"/>
        <w:numPr>
          <w:ilvl w:val="2"/>
          <w:numId w:val="3"/>
        </w:numPr>
        <w:rPr>
          <w:rFonts w:ascii="Times New Roman" w:hAnsi="Times New Roman" w:cs="Times New Roman"/>
        </w:rPr>
      </w:pPr>
      <w:r w:rsidRPr="006E39F1">
        <w:rPr>
          <w:rFonts w:ascii="Times New Roman" w:hAnsi="Times New Roman" w:cs="Times New Roman"/>
        </w:rPr>
        <w:t>Committee member: Are they meeting the same requirements as traditional master’s students?</w:t>
      </w:r>
    </w:p>
    <w:p w14:paraId="73D87262" w14:textId="7C60EAA4"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Yes, the requirements are simply modularized.</w:t>
      </w:r>
    </w:p>
    <w:p w14:paraId="1A67B629" w14:textId="77777777"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Sanabria: Do graduate non-degree rules apply?</w:t>
      </w:r>
    </w:p>
    <w:p w14:paraId="51A909FE" w14:textId="0230FBB9"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That</w:t>
      </w:r>
      <w:r w:rsidR="00CA0895" w:rsidRPr="006E39F1">
        <w:rPr>
          <w:rFonts w:ascii="Times New Roman" w:hAnsi="Times New Roman" w:cs="Times New Roman"/>
        </w:rPr>
        <w:t xml:space="preserve"> i</w:t>
      </w:r>
      <w:r w:rsidRPr="006E39F1">
        <w:rPr>
          <w:rFonts w:ascii="Times New Roman" w:hAnsi="Times New Roman" w:cs="Times New Roman"/>
        </w:rPr>
        <w:t>s something we still need to resolve with the Graduate School.</w:t>
      </w:r>
    </w:p>
    <w:p w14:paraId="567656CF" w14:textId="6852C09C"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 xml:space="preserve">Sanabria: </w:t>
      </w:r>
      <w:r w:rsidR="00CA0895" w:rsidRPr="006E39F1">
        <w:rPr>
          <w:rFonts w:ascii="Times New Roman" w:hAnsi="Times New Roman" w:cs="Times New Roman"/>
        </w:rPr>
        <w:t>Could a student take one course at a time on this path</w:t>
      </w:r>
      <w:r w:rsidRPr="006E39F1">
        <w:rPr>
          <w:rFonts w:ascii="Times New Roman" w:hAnsi="Times New Roman" w:cs="Times New Roman"/>
        </w:rPr>
        <w:t>?</w:t>
      </w:r>
    </w:p>
    <w:p w14:paraId="5CF140CB" w14:textId="757BF969"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 xml:space="preserve">Miriti: </w:t>
      </w:r>
      <w:r w:rsidR="00CA0895" w:rsidRPr="006E39F1">
        <w:rPr>
          <w:rFonts w:ascii="Times New Roman" w:hAnsi="Times New Roman" w:cs="Times New Roman"/>
        </w:rPr>
        <w:t>Yes, t</w:t>
      </w:r>
      <w:r w:rsidRPr="006E39F1">
        <w:rPr>
          <w:rFonts w:ascii="Times New Roman" w:hAnsi="Times New Roman" w:cs="Times New Roman"/>
        </w:rPr>
        <w:t>hey would apply to the certificate program and complete it at their own pace.</w:t>
      </w:r>
    </w:p>
    <w:p w14:paraId="756FBCD7" w14:textId="77777777"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Martin: Could a student in a traditional master’s program structure their coursework so they also earn the certificate?</w:t>
      </w:r>
    </w:p>
    <w:p w14:paraId="2E4F9EB0" w14:textId="69A4E19A"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Yes.</w:t>
      </w:r>
    </w:p>
    <w:p w14:paraId="28E50769" w14:textId="56CCCF5B"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Vankeerbergen: Have you seen any actual proposals yet?</w:t>
      </w:r>
    </w:p>
    <w:p w14:paraId="3F8791D7" w14:textId="2568E4D4"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Law is exploring a cybersecurity master’s using this pathway. Several others are waiting for the process to be finalized</w:t>
      </w:r>
      <w:r w:rsidR="00CA0895" w:rsidRPr="006E39F1">
        <w:rPr>
          <w:rFonts w:ascii="Times New Roman" w:hAnsi="Times New Roman" w:cs="Times New Roman"/>
        </w:rPr>
        <w:t xml:space="preserve"> before moving forward</w:t>
      </w:r>
      <w:r w:rsidRPr="006E39F1">
        <w:rPr>
          <w:rFonts w:ascii="Times New Roman" w:hAnsi="Times New Roman" w:cs="Times New Roman"/>
        </w:rPr>
        <w:t>. We need Registrar mechanisms to track stackable certificates and identify when students become degree eligible. The Graduate School Handbook language also needs updating. The goal is to launch this in the spring.</w:t>
      </w:r>
    </w:p>
    <w:p w14:paraId="4990E202" w14:textId="248FDBE4" w:rsidR="00065FD8"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lastRenderedPageBreak/>
        <w:t xml:space="preserve">Committee member: Will these certificates be separate from </w:t>
      </w:r>
      <w:r w:rsidR="00524116">
        <w:rPr>
          <w:rFonts w:ascii="Times New Roman" w:hAnsi="Times New Roman" w:cs="Times New Roman"/>
        </w:rPr>
        <w:t>current graduate</w:t>
      </w:r>
      <w:r w:rsidRPr="006E39F1">
        <w:rPr>
          <w:rFonts w:ascii="Times New Roman" w:hAnsi="Times New Roman" w:cs="Times New Roman"/>
        </w:rPr>
        <w:t xml:space="preserve"> certificates? I am concerned students might not have the appropriate background to complete the degree. The capstone seems to be doing a lot of heavy lifting. </w:t>
      </w:r>
    </w:p>
    <w:p w14:paraId="4EF2BF05" w14:textId="39874B1A" w:rsidR="00065FD8" w:rsidRPr="006E39F1" w:rsidRDefault="00065FD8" w:rsidP="00065FD8">
      <w:pPr>
        <w:pStyle w:val="ListParagraph"/>
        <w:numPr>
          <w:ilvl w:val="2"/>
          <w:numId w:val="3"/>
        </w:numPr>
        <w:rPr>
          <w:rFonts w:ascii="Times New Roman" w:hAnsi="Times New Roman" w:cs="Times New Roman"/>
        </w:rPr>
      </w:pPr>
      <w:r w:rsidRPr="006E39F1">
        <w:rPr>
          <w:rFonts w:ascii="Times New Roman" w:hAnsi="Times New Roman" w:cs="Times New Roman"/>
        </w:rPr>
        <w:t>Miriti: Stackable pathways must include courses already aligned with the corresponding master’s program. Students cannot apply unrelated certificate courses taken earlier in their career. The adoption of this model may prompt revisions to existing certificates to increase alignment and accessibility.</w:t>
      </w:r>
    </w:p>
    <w:p w14:paraId="48A3028B" w14:textId="77777777" w:rsidR="00A07167" w:rsidRPr="006E39F1" w:rsidRDefault="00065FD8" w:rsidP="00A07167">
      <w:pPr>
        <w:pStyle w:val="ListParagraph"/>
        <w:numPr>
          <w:ilvl w:val="2"/>
          <w:numId w:val="3"/>
        </w:numPr>
        <w:rPr>
          <w:rFonts w:ascii="Times New Roman" w:hAnsi="Times New Roman" w:cs="Times New Roman"/>
        </w:rPr>
      </w:pPr>
      <w:r w:rsidRPr="006E39F1">
        <w:rPr>
          <w:rFonts w:ascii="Times New Roman" w:hAnsi="Times New Roman" w:cs="Times New Roman"/>
        </w:rPr>
        <w:t>Smith: None of this would be retroactive?</w:t>
      </w:r>
    </w:p>
    <w:p w14:paraId="5196FB75" w14:textId="329992D7" w:rsidR="00065FD8" w:rsidRPr="006E39F1" w:rsidRDefault="00065FD8" w:rsidP="00A07167">
      <w:pPr>
        <w:pStyle w:val="ListParagraph"/>
        <w:numPr>
          <w:ilvl w:val="2"/>
          <w:numId w:val="3"/>
        </w:numPr>
        <w:rPr>
          <w:rFonts w:ascii="Times New Roman" w:hAnsi="Times New Roman" w:cs="Times New Roman"/>
        </w:rPr>
      </w:pPr>
      <w:r w:rsidRPr="006E39F1">
        <w:rPr>
          <w:rFonts w:ascii="Times New Roman" w:hAnsi="Times New Roman" w:cs="Times New Roman"/>
        </w:rPr>
        <w:t>Miriti: Correct.</w:t>
      </w:r>
    </w:p>
    <w:p w14:paraId="71A32DD3" w14:textId="77777777" w:rsidR="00293546" w:rsidRPr="006E39F1" w:rsidRDefault="00293546" w:rsidP="00065FD8">
      <w:pPr>
        <w:pStyle w:val="ListParagraph"/>
        <w:numPr>
          <w:ilvl w:val="1"/>
          <w:numId w:val="3"/>
        </w:numPr>
        <w:rPr>
          <w:rFonts w:ascii="Times New Roman" w:hAnsi="Times New Roman" w:cs="Times New Roman"/>
        </w:rPr>
      </w:pPr>
      <w:r w:rsidRPr="006E39F1">
        <w:rPr>
          <w:rFonts w:ascii="Times New Roman" w:hAnsi="Times New Roman" w:cs="Times New Roman"/>
        </w:rPr>
        <w:t>Committee member</w:t>
      </w:r>
      <w:r w:rsidR="00065FD8" w:rsidRPr="006E39F1">
        <w:rPr>
          <w:rFonts w:ascii="Times New Roman" w:hAnsi="Times New Roman" w:cs="Times New Roman"/>
        </w:rPr>
        <w:t>: Do you anticipate new master’s degrees being created specifically to support stackable pathways</w:t>
      </w:r>
      <w:r w:rsidRPr="006E39F1">
        <w:rPr>
          <w:rFonts w:ascii="Times New Roman" w:hAnsi="Times New Roman" w:cs="Times New Roman"/>
        </w:rPr>
        <w:t>?</w:t>
      </w:r>
    </w:p>
    <w:p w14:paraId="28398CC6" w14:textId="5E25BE9E" w:rsidR="00065FD8" w:rsidRPr="006E39F1" w:rsidRDefault="00065FD8" w:rsidP="00293546">
      <w:pPr>
        <w:pStyle w:val="ListParagraph"/>
        <w:numPr>
          <w:ilvl w:val="2"/>
          <w:numId w:val="3"/>
        </w:numPr>
        <w:rPr>
          <w:rFonts w:ascii="Times New Roman" w:hAnsi="Times New Roman" w:cs="Times New Roman"/>
        </w:rPr>
      </w:pPr>
      <w:r w:rsidRPr="006E39F1">
        <w:rPr>
          <w:rFonts w:ascii="Times New Roman" w:hAnsi="Times New Roman" w:cs="Times New Roman"/>
        </w:rPr>
        <w:t>Miriti: Yes. Cybersecurity is one example. Some programs may identify sub-plans or specializations within existing degrees</w:t>
      </w:r>
      <w:r w:rsidR="00293546" w:rsidRPr="006E39F1">
        <w:rPr>
          <w:rFonts w:ascii="Times New Roman" w:hAnsi="Times New Roman" w:cs="Times New Roman"/>
        </w:rPr>
        <w:t xml:space="preserve"> </w:t>
      </w:r>
      <w:r w:rsidRPr="006E39F1">
        <w:rPr>
          <w:rFonts w:ascii="Times New Roman" w:hAnsi="Times New Roman" w:cs="Times New Roman"/>
        </w:rPr>
        <w:t>where stackable pathways make sense.</w:t>
      </w:r>
    </w:p>
    <w:p w14:paraId="5FFF4397" w14:textId="75903BBB" w:rsidR="00293546" w:rsidRPr="006E39F1" w:rsidRDefault="00293546" w:rsidP="00293546">
      <w:pPr>
        <w:pStyle w:val="ListParagraph"/>
        <w:numPr>
          <w:ilvl w:val="1"/>
          <w:numId w:val="3"/>
        </w:numPr>
        <w:rPr>
          <w:rFonts w:ascii="Times New Roman" w:hAnsi="Times New Roman" w:cs="Times New Roman"/>
        </w:rPr>
      </w:pPr>
      <w:r w:rsidRPr="006E39F1">
        <w:rPr>
          <w:rFonts w:ascii="Times New Roman" w:hAnsi="Times New Roman" w:cs="Times New Roman"/>
        </w:rPr>
        <w:t>Committee member</w:t>
      </w:r>
      <w:r w:rsidR="00065FD8" w:rsidRPr="006E39F1">
        <w:rPr>
          <w:rFonts w:ascii="Times New Roman" w:hAnsi="Times New Roman" w:cs="Times New Roman"/>
        </w:rPr>
        <w:t xml:space="preserve">: </w:t>
      </w:r>
      <w:r w:rsidRPr="006E39F1">
        <w:rPr>
          <w:rFonts w:ascii="Times New Roman" w:hAnsi="Times New Roman" w:cs="Times New Roman"/>
        </w:rPr>
        <w:t>In that case, would programs go through</w:t>
      </w:r>
      <w:r w:rsidR="00065FD8" w:rsidRPr="006E39F1">
        <w:rPr>
          <w:rFonts w:ascii="Times New Roman" w:hAnsi="Times New Roman" w:cs="Times New Roman"/>
        </w:rPr>
        <w:t xml:space="preserve"> the curricular review process </w:t>
      </w:r>
      <w:r w:rsidRPr="006E39F1">
        <w:rPr>
          <w:rFonts w:ascii="Times New Roman" w:hAnsi="Times New Roman" w:cs="Times New Roman"/>
        </w:rPr>
        <w:t>to</w:t>
      </w:r>
      <w:r w:rsidR="00065FD8" w:rsidRPr="006E39F1">
        <w:rPr>
          <w:rFonts w:ascii="Times New Roman" w:hAnsi="Times New Roman" w:cs="Times New Roman"/>
        </w:rPr>
        <w:t xml:space="preserve"> ensure rigor is maintained</w:t>
      </w:r>
      <w:r w:rsidRPr="006E39F1">
        <w:rPr>
          <w:rFonts w:ascii="Times New Roman" w:hAnsi="Times New Roman" w:cs="Times New Roman"/>
        </w:rPr>
        <w:t>?</w:t>
      </w:r>
    </w:p>
    <w:p w14:paraId="42DA5688" w14:textId="5A91648F" w:rsidR="00065FD8" w:rsidRPr="006E39F1" w:rsidRDefault="00065FD8" w:rsidP="00293546">
      <w:pPr>
        <w:pStyle w:val="ListParagraph"/>
        <w:numPr>
          <w:ilvl w:val="2"/>
          <w:numId w:val="3"/>
        </w:numPr>
        <w:rPr>
          <w:rFonts w:ascii="Times New Roman" w:hAnsi="Times New Roman" w:cs="Times New Roman"/>
        </w:rPr>
      </w:pPr>
      <w:r w:rsidRPr="006E39F1">
        <w:rPr>
          <w:rFonts w:ascii="Times New Roman" w:hAnsi="Times New Roman" w:cs="Times New Roman"/>
        </w:rPr>
        <w:t>Miriti: Absolutely. A key priority is ensuring the integrity of all credentials.</w:t>
      </w:r>
    </w:p>
    <w:p w14:paraId="02990EB2" w14:textId="77777777" w:rsidR="00A56FCD" w:rsidRPr="006E39F1" w:rsidRDefault="00065FD8" w:rsidP="00065FD8">
      <w:pPr>
        <w:pStyle w:val="ListParagraph"/>
        <w:numPr>
          <w:ilvl w:val="1"/>
          <w:numId w:val="3"/>
        </w:numPr>
        <w:rPr>
          <w:rFonts w:ascii="Times New Roman" w:hAnsi="Times New Roman" w:cs="Times New Roman"/>
        </w:rPr>
      </w:pPr>
      <w:r w:rsidRPr="006E39F1">
        <w:rPr>
          <w:rFonts w:ascii="Times New Roman" w:hAnsi="Times New Roman" w:cs="Times New Roman"/>
        </w:rPr>
        <w:t xml:space="preserve">Martin: </w:t>
      </w:r>
      <w:r w:rsidR="00293546" w:rsidRPr="006E39F1">
        <w:rPr>
          <w:rFonts w:ascii="Times New Roman" w:hAnsi="Times New Roman" w:cs="Times New Roman"/>
        </w:rPr>
        <w:t xml:space="preserve">Since </w:t>
      </w:r>
      <w:r w:rsidRPr="006E39F1">
        <w:rPr>
          <w:rFonts w:ascii="Times New Roman" w:hAnsi="Times New Roman" w:cs="Times New Roman"/>
        </w:rPr>
        <w:t xml:space="preserve">ASC </w:t>
      </w:r>
      <w:r w:rsidR="00293546" w:rsidRPr="006E39F1">
        <w:rPr>
          <w:rFonts w:ascii="Times New Roman" w:hAnsi="Times New Roman" w:cs="Times New Roman"/>
        </w:rPr>
        <w:t>does not</w:t>
      </w:r>
      <w:r w:rsidRPr="006E39F1">
        <w:rPr>
          <w:rFonts w:ascii="Times New Roman" w:hAnsi="Times New Roman" w:cs="Times New Roman"/>
        </w:rPr>
        <w:t xml:space="preserve"> have many professional master’s degrees</w:t>
      </w:r>
      <w:r w:rsidR="00A56FCD" w:rsidRPr="006E39F1">
        <w:rPr>
          <w:rFonts w:ascii="Times New Roman" w:hAnsi="Times New Roman" w:cs="Times New Roman"/>
        </w:rPr>
        <w:t>,</w:t>
      </w:r>
      <w:r w:rsidR="00293546" w:rsidRPr="006E39F1">
        <w:rPr>
          <w:rFonts w:ascii="Times New Roman" w:hAnsi="Times New Roman" w:cs="Times New Roman"/>
        </w:rPr>
        <w:t xml:space="preserve"> nothing</w:t>
      </w:r>
      <w:r w:rsidRPr="006E39F1">
        <w:rPr>
          <w:rFonts w:ascii="Times New Roman" w:hAnsi="Times New Roman" w:cs="Times New Roman"/>
        </w:rPr>
        <w:t xml:space="preserve"> seems imminent</w:t>
      </w:r>
      <w:r w:rsidR="00293546" w:rsidRPr="006E39F1">
        <w:rPr>
          <w:rFonts w:ascii="Times New Roman" w:hAnsi="Times New Roman" w:cs="Times New Roman"/>
        </w:rPr>
        <w:t xml:space="preserve"> from </w:t>
      </w:r>
      <w:r w:rsidR="00A56FCD" w:rsidRPr="006E39F1">
        <w:rPr>
          <w:rFonts w:ascii="Times New Roman" w:hAnsi="Times New Roman" w:cs="Times New Roman"/>
        </w:rPr>
        <w:t>our college.</w:t>
      </w:r>
    </w:p>
    <w:p w14:paraId="4D3667A3" w14:textId="3AA9A8C0" w:rsidR="00065FD8" w:rsidRPr="006E39F1" w:rsidRDefault="00065FD8" w:rsidP="00A56FCD">
      <w:pPr>
        <w:pStyle w:val="ListParagraph"/>
        <w:numPr>
          <w:ilvl w:val="2"/>
          <w:numId w:val="3"/>
        </w:numPr>
        <w:rPr>
          <w:rFonts w:ascii="Times New Roman" w:hAnsi="Times New Roman" w:cs="Times New Roman"/>
        </w:rPr>
      </w:pPr>
      <w:r w:rsidRPr="006E39F1">
        <w:rPr>
          <w:rFonts w:ascii="Times New Roman" w:hAnsi="Times New Roman" w:cs="Times New Roman"/>
        </w:rPr>
        <w:t xml:space="preserve">Miriti: </w:t>
      </w:r>
      <w:r w:rsidR="00A56FCD" w:rsidRPr="006E39F1">
        <w:rPr>
          <w:rFonts w:ascii="Times New Roman" w:hAnsi="Times New Roman" w:cs="Times New Roman"/>
        </w:rPr>
        <w:t>M</w:t>
      </w:r>
      <w:r w:rsidRPr="006E39F1">
        <w:rPr>
          <w:rFonts w:ascii="Times New Roman" w:hAnsi="Times New Roman" w:cs="Times New Roman"/>
        </w:rPr>
        <w:t xml:space="preserve">aster’s structures </w:t>
      </w:r>
      <w:r w:rsidR="00A56FCD" w:rsidRPr="006E39F1">
        <w:rPr>
          <w:rFonts w:ascii="Times New Roman" w:hAnsi="Times New Roman" w:cs="Times New Roman"/>
        </w:rPr>
        <w:t xml:space="preserve">in ASC </w:t>
      </w:r>
      <w:r w:rsidRPr="006E39F1">
        <w:rPr>
          <w:rFonts w:ascii="Times New Roman" w:hAnsi="Times New Roman" w:cs="Times New Roman"/>
        </w:rPr>
        <w:t>vary widely</w:t>
      </w:r>
      <w:r w:rsidR="00A56FCD" w:rsidRPr="006E39F1">
        <w:rPr>
          <w:rFonts w:ascii="Times New Roman" w:hAnsi="Times New Roman" w:cs="Times New Roman"/>
        </w:rPr>
        <w:t>. Since s</w:t>
      </w:r>
      <w:r w:rsidRPr="006E39F1">
        <w:rPr>
          <w:rFonts w:ascii="Times New Roman" w:hAnsi="Times New Roman" w:cs="Times New Roman"/>
        </w:rPr>
        <w:t>ome are terminal</w:t>
      </w:r>
      <w:r w:rsidR="00A56FCD" w:rsidRPr="006E39F1">
        <w:rPr>
          <w:rFonts w:ascii="Times New Roman" w:hAnsi="Times New Roman" w:cs="Times New Roman"/>
        </w:rPr>
        <w:t xml:space="preserve"> and </w:t>
      </w:r>
      <w:r w:rsidRPr="006E39F1">
        <w:rPr>
          <w:rFonts w:ascii="Times New Roman" w:hAnsi="Times New Roman" w:cs="Times New Roman"/>
        </w:rPr>
        <w:t>others are embedded in PhD pathways</w:t>
      </w:r>
      <w:r w:rsidR="00A56FCD" w:rsidRPr="006E39F1">
        <w:rPr>
          <w:rFonts w:ascii="Times New Roman" w:hAnsi="Times New Roman" w:cs="Times New Roman"/>
        </w:rPr>
        <w:t xml:space="preserve">, </w:t>
      </w:r>
      <w:r w:rsidRPr="006E39F1">
        <w:rPr>
          <w:rFonts w:ascii="Times New Roman" w:hAnsi="Times New Roman" w:cs="Times New Roman"/>
        </w:rPr>
        <w:t>this would require careful consideration.</w:t>
      </w:r>
    </w:p>
    <w:p w14:paraId="5594C44B" w14:textId="77777777" w:rsidR="00A56FCD" w:rsidRPr="006E39F1" w:rsidRDefault="00A56FCD" w:rsidP="00065FD8">
      <w:pPr>
        <w:pStyle w:val="ListParagraph"/>
        <w:numPr>
          <w:ilvl w:val="1"/>
          <w:numId w:val="3"/>
        </w:numPr>
        <w:rPr>
          <w:rFonts w:ascii="Times New Roman" w:hAnsi="Times New Roman" w:cs="Times New Roman"/>
        </w:rPr>
      </w:pPr>
      <w:r w:rsidRPr="006E39F1">
        <w:rPr>
          <w:rFonts w:ascii="Times New Roman" w:hAnsi="Times New Roman" w:cs="Times New Roman"/>
        </w:rPr>
        <w:t>Committee member</w:t>
      </w:r>
      <w:r w:rsidR="00065FD8" w:rsidRPr="006E39F1">
        <w:rPr>
          <w:rFonts w:ascii="Times New Roman" w:hAnsi="Times New Roman" w:cs="Times New Roman"/>
        </w:rPr>
        <w:t>: If certificates are 12 credits and a master’s is 30+, would students need courses outside the certificates?</w:t>
      </w:r>
    </w:p>
    <w:p w14:paraId="3B32B5F3" w14:textId="2EF11D39" w:rsidR="00065FD8" w:rsidRPr="006E39F1" w:rsidRDefault="00065FD8" w:rsidP="00A56FCD">
      <w:pPr>
        <w:pStyle w:val="ListParagraph"/>
        <w:numPr>
          <w:ilvl w:val="2"/>
          <w:numId w:val="3"/>
        </w:numPr>
        <w:rPr>
          <w:rFonts w:ascii="Times New Roman" w:hAnsi="Times New Roman" w:cs="Times New Roman"/>
        </w:rPr>
      </w:pPr>
      <w:r w:rsidRPr="006E39F1">
        <w:rPr>
          <w:rFonts w:ascii="Times New Roman" w:hAnsi="Times New Roman" w:cs="Times New Roman"/>
        </w:rPr>
        <w:t>Miriti: Potentially. Certificates could also be set at 15 credits, and there is always the capston</w:t>
      </w:r>
      <w:r w:rsidR="00A56FCD" w:rsidRPr="006E39F1">
        <w:rPr>
          <w:rFonts w:ascii="Times New Roman" w:hAnsi="Times New Roman" w:cs="Times New Roman"/>
        </w:rPr>
        <w:t>e</w:t>
      </w:r>
      <w:r w:rsidR="008C727F" w:rsidRPr="006E39F1">
        <w:rPr>
          <w:rFonts w:ascii="Times New Roman" w:hAnsi="Times New Roman" w:cs="Times New Roman"/>
        </w:rPr>
        <w:t xml:space="preserve"> course that adds credits</w:t>
      </w:r>
      <w:r w:rsidR="00A56FCD" w:rsidRPr="006E39F1">
        <w:rPr>
          <w:rFonts w:ascii="Times New Roman" w:hAnsi="Times New Roman" w:cs="Times New Roman"/>
        </w:rPr>
        <w:t>.</w:t>
      </w:r>
    </w:p>
    <w:p w14:paraId="2BC6C503" w14:textId="77777777" w:rsidR="00A56FCD" w:rsidRPr="006E39F1" w:rsidRDefault="00A56FCD" w:rsidP="00065FD8">
      <w:pPr>
        <w:pStyle w:val="ListParagraph"/>
        <w:numPr>
          <w:ilvl w:val="1"/>
          <w:numId w:val="3"/>
        </w:numPr>
        <w:rPr>
          <w:rFonts w:ascii="Times New Roman" w:hAnsi="Times New Roman" w:cs="Times New Roman"/>
        </w:rPr>
      </w:pPr>
      <w:r w:rsidRPr="006E39F1">
        <w:rPr>
          <w:rFonts w:ascii="Times New Roman" w:hAnsi="Times New Roman" w:cs="Times New Roman"/>
        </w:rPr>
        <w:t>Committee member</w:t>
      </w:r>
      <w:r w:rsidR="00065FD8" w:rsidRPr="006E39F1">
        <w:rPr>
          <w:rFonts w:ascii="Times New Roman" w:hAnsi="Times New Roman" w:cs="Times New Roman"/>
        </w:rPr>
        <w:t>: Could two colleges combine certificates to create a stackable pathway?</w:t>
      </w:r>
    </w:p>
    <w:p w14:paraId="7C9764AD" w14:textId="785633CF" w:rsidR="00065FD8" w:rsidRPr="006E39F1" w:rsidRDefault="00065FD8" w:rsidP="00A56FCD">
      <w:pPr>
        <w:pStyle w:val="ListParagraph"/>
        <w:numPr>
          <w:ilvl w:val="2"/>
          <w:numId w:val="3"/>
        </w:numPr>
        <w:rPr>
          <w:rFonts w:ascii="Times New Roman" w:hAnsi="Times New Roman" w:cs="Times New Roman"/>
        </w:rPr>
      </w:pPr>
      <w:r w:rsidRPr="006E39F1">
        <w:rPr>
          <w:rFonts w:ascii="Times New Roman" w:hAnsi="Times New Roman" w:cs="Times New Roman"/>
        </w:rPr>
        <w:t>Miriti: We have</w:t>
      </w:r>
      <w:r w:rsidR="00A56FCD" w:rsidRPr="006E39F1">
        <w:rPr>
          <w:rFonts w:ascii="Times New Roman" w:hAnsi="Times New Roman" w:cs="Times New Roman"/>
        </w:rPr>
        <w:t xml:space="preserve"> no</w:t>
      </w:r>
      <w:r w:rsidRPr="006E39F1">
        <w:rPr>
          <w:rFonts w:ascii="Times New Roman" w:hAnsi="Times New Roman" w:cs="Times New Roman"/>
        </w:rPr>
        <w:t>t explored that yet, but it would be a great possibility.</w:t>
      </w:r>
    </w:p>
    <w:p w14:paraId="1BC27F8B"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Revision to the Spanish Minor (Guests: E. Romero and R. Sanabria)</w:t>
      </w:r>
    </w:p>
    <w:p w14:paraId="06BC748F" w14:textId="312FA32E" w:rsidR="00A56FCD" w:rsidRPr="006E39F1" w:rsidRDefault="009B3828" w:rsidP="00A56FCD">
      <w:pPr>
        <w:pStyle w:val="ListParagraph"/>
        <w:numPr>
          <w:ilvl w:val="1"/>
          <w:numId w:val="3"/>
        </w:numPr>
        <w:rPr>
          <w:rFonts w:ascii="Times New Roman" w:hAnsi="Times New Roman" w:cs="Times New Roman"/>
        </w:rPr>
      </w:pPr>
      <w:r w:rsidRPr="006E39F1">
        <w:rPr>
          <w:rFonts w:ascii="Times New Roman" w:hAnsi="Times New Roman" w:cs="Times New Roman"/>
        </w:rPr>
        <w:t xml:space="preserve">Arts and Humanities Subcommittee 1 Letter of Motion: </w:t>
      </w:r>
      <w:r w:rsidR="00A56FCD" w:rsidRPr="006E39F1">
        <w:rPr>
          <w:rFonts w:ascii="Times New Roman" w:hAnsi="Times New Roman" w:cs="Times New Roman"/>
        </w:rPr>
        <w:t>On November 4, 2025, the Arts and Humanities Subcommittee 1 reviewed a request from the Department of Spanish and Portuguese to revise the Spanish minor. The revision addresses the current imbalance in requirements, which makes the Hispanic Linguistics option difficult for students to pursue and often results in minors exceeding 18 credit hours.</w:t>
      </w:r>
    </w:p>
    <w:p w14:paraId="428DB7A4" w14:textId="77777777" w:rsidR="00A56FCD" w:rsidRPr="006E39F1" w:rsidRDefault="00A56FCD" w:rsidP="00A56FCD">
      <w:pPr>
        <w:pStyle w:val="ListParagraph"/>
        <w:ind w:left="1800"/>
        <w:rPr>
          <w:rFonts w:ascii="Times New Roman" w:hAnsi="Times New Roman" w:cs="Times New Roman"/>
        </w:rPr>
      </w:pPr>
    </w:p>
    <w:p w14:paraId="12D80F67" w14:textId="1A4C862A" w:rsidR="00A56FCD" w:rsidRPr="006E39F1" w:rsidRDefault="00A56FCD" w:rsidP="00A56FCD">
      <w:pPr>
        <w:pStyle w:val="ListParagraph"/>
        <w:ind w:left="1800"/>
        <w:rPr>
          <w:rFonts w:ascii="Times New Roman" w:hAnsi="Times New Roman" w:cs="Times New Roman"/>
        </w:rPr>
      </w:pPr>
      <w:r w:rsidRPr="006E39F1">
        <w:rPr>
          <w:rFonts w:ascii="Times New Roman" w:hAnsi="Times New Roman" w:cs="Times New Roman"/>
        </w:rPr>
        <w:t xml:space="preserve">The department proposes restructuring the minor into two clear pathways: </w:t>
      </w:r>
      <w:r w:rsidR="008C727F" w:rsidRPr="006E39F1">
        <w:rPr>
          <w:rFonts w:ascii="Times New Roman" w:hAnsi="Times New Roman" w:cs="Times New Roman"/>
        </w:rPr>
        <w:t>(</w:t>
      </w:r>
      <w:r w:rsidRPr="006E39F1">
        <w:rPr>
          <w:rFonts w:ascii="Times New Roman" w:hAnsi="Times New Roman" w:cs="Times New Roman"/>
        </w:rPr>
        <w:t>1</w:t>
      </w:r>
      <w:r w:rsidR="008C727F" w:rsidRPr="006E39F1">
        <w:rPr>
          <w:rFonts w:ascii="Times New Roman" w:hAnsi="Times New Roman" w:cs="Times New Roman"/>
        </w:rPr>
        <w:t>)</w:t>
      </w:r>
      <w:r w:rsidRPr="006E39F1">
        <w:rPr>
          <w:rFonts w:ascii="Times New Roman" w:hAnsi="Times New Roman" w:cs="Times New Roman"/>
        </w:rPr>
        <w:t xml:space="preserve"> Literature &amp; Cultures Pathway (unchanged), </w:t>
      </w:r>
      <w:r w:rsidR="008C727F" w:rsidRPr="006E39F1">
        <w:rPr>
          <w:rFonts w:ascii="Times New Roman" w:hAnsi="Times New Roman" w:cs="Times New Roman"/>
        </w:rPr>
        <w:t>(2)</w:t>
      </w:r>
      <w:r w:rsidRPr="006E39F1">
        <w:rPr>
          <w:rFonts w:ascii="Times New Roman" w:hAnsi="Times New Roman" w:cs="Times New Roman"/>
        </w:rPr>
        <w:t xml:space="preserve"> Hispanic Linguistics Pathway (new).</w:t>
      </w:r>
    </w:p>
    <w:p w14:paraId="3B75CDBA" w14:textId="77777777" w:rsidR="00A56FCD" w:rsidRPr="006E39F1" w:rsidRDefault="00A56FCD" w:rsidP="00A56FCD">
      <w:pPr>
        <w:pStyle w:val="ListParagraph"/>
        <w:ind w:left="1800"/>
        <w:rPr>
          <w:rFonts w:ascii="Times New Roman" w:hAnsi="Times New Roman" w:cs="Times New Roman"/>
        </w:rPr>
      </w:pPr>
    </w:p>
    <w:p w14:paraId="226F20C1" w14:textId="602FB93A" w:rsidR="00A56FCD" w:rsidRPr="006E39F1" w:rsidRDefault="00A56FCD" w:rsidP="008C727F">
      <w:pPr>
        <w:pStyle w:val="ListParagraph"/>
        <w:ind w:left="1800"/>
        <w:rPr>
          <w:rFonts w:ascii="Times New Roman" w:hAnsi="Times New Roman" w:cs="Times New Roman"/>
        </w:rPr>
      </w:pPr>
      <w:r w:rsidRPr="006E39F1">
        <w:rPr>
          <w:rFonts w:ascii="Times New Roman" w:hAnsi="Times New Roman" w:cs="Times New Roman"/>
        </w:rPr>
        <w:t>Students entering OSU in Autumn 2026 or later will follow the new structure; earlier cohorts may remain in the current minor or switch to the new model.</w:t>
      </w:r>
      <w:r w:rsidR="008C727F" w:rsidRPr="006E39F1">
        <w:rPr>
          <w:rFonts w:ascii="Times New Roman" w:hAnsi="Times New Roman" w:cs="Times New Roman"/>
        </w:rPr>
        <w:t xml:space="preserve"> </w:t>
      </w:r>
      <w:r w:rsidRPr="006E39F1">
        <w:rPr>
          <w:rFonts w:ascii="Times New Roman" w:hAnsi="Times New Roman" w:cs="Times New Roman"/>
        </w:rPr>
        <w:t>The Subcommittee voted unanimously to approve the request with three contingencies, all of which have been satisfied. The proposal now advances to the ASCC with a motion to approve.</w:t>
      </w:r>
    </w:p>
    <w:p w14:paraId="6901575B" w14:textId="6142C0F6" w:rsidR="00A56FCD" w:rsidRPr="006E39F1" w:rsidRDefault="00A56FCD" w:rsidP="00A56FCD">
      <w:pPr>
        <w:pStyle w:val="ListParagraph"/>
        <w:numPr>
          <w:ilvl w:val="1"/>
          <w:numId w:val="3"/>
        </w:numPr>
        <w:rPr>
          <w:rFonts w:ascii="Times New Roman" w:hAnsi="Times New Roman" w:cs="Times New Roman"/>
        </w:rPr>
      </w:pPr>
      <w:r w:rsidRPr="006E39F1">
        <w:rPr>
          <w:rFonts w:ascii="Times New Roman" w:hAnsi="Times New Roman" w:cs="Times New Roman"/>
        </w:rPr>
        <w:t>Romero: The Department of Spanish and Portuguese has been looking at making this for a long time. It was approved by our whole departmental council because students interested in Hispanic linguistics could pursue it, but only if they added two extra courses. We realized that, just as we have tracks in the major, we could also create two tracks in the minor. This also cleans up elective options for other minors.</w:t>
      </w:r>
    </w:p>
    <w:p w14:paraId="6BDB48F3" w14:textId="77777777" w:rsidR="00C80F16" w:rsidRPr="006E39F1" w:rsidRDefault="00A56FCD" w:rsidP="00A56FCD">
      <w:pPr>
        <w:pStyle w:val="ListParagraph"/>
        <w:numPr>
          <w:ilvl w:val="1"/>
          <w:numId w:val="3"/>
        </w:numPr>
        <w:rPr>
          <w:rFonts w:ascii="Times New Roman" w:hAnsi="Times New Roman" w:cs="Times New Roman"/>
        </w:rPr>
      </w:pPr>
      <w:r w:rsidRPr="006E39F1">
        <w:rPr>
          <w:rFonts w:ascii="Times New Roman" w:hAnsi="Times New Roman" w:cs="Times New Roman"/>
        </w:rPr>
        <w:t>Martin: How many students do you expect will be interested in this new pathway within the existing group?</w:t>
      </w:r>
    </w:p>
    <w:p w14:paraId="38E9117A" w14:textId="03EFC2E8" w:rsidR="00C80F16" w:rsidRPr="006E39F1" w:rsidRDefault="00A56FCD" w:rsidP="00C80F16">
      <w:pPr>
        <w:pStyle w:val="ListParagraph"/>
        <w:numPr>
          <w:ilvl w:val="2"/>
          <w:numId w:val="3"/>
        </w:numPr>
        <w:rPr>
          <w:rFonts w:ascii="Times New Roman" w:hAnsi="Times New Roman" w:cs="Times New Roman"/>
        </w:rPr>
      </w:pPr>
      <w:r w:rsidRPr="006E39F1">
        <w:rPr>
          <w:rFonts w:ascii="Times New Roman" w:hAnsi="Times New Roman" w:cs="Times New Roman"/>
        </w:rPr>
        <w:t>Romero: We think quite a few. The main reason students have</w:t>
      </w:r>
      <w:r w:rsidR="00C80F16" w:rsidRPr="006E39F1">
        <w:rPr>
          <w:rFonts w:ascii="Times New Roman" w:hAnsi="Times New Roman" w:cs="Times New Roman"/>
        </w:rPr>
        <w:t xml:space="preserve"> no</w:t>
      </w:r>
      <w:r w:rsidRPr="006E39F1">
        <w:rPr>
          <w:rFonts w:ascii="Times New Roman" w:hAnsi="Times New Roman" w:cs="Times New Roman"/>
        </w:rPr>
        <w:t xml:space="preserve">t done it before is the added hours. We often have students doing linguistics, and this pathway finally gives them the opportunity to pursue the Spanish linguistics minor without extra obstacles. </w:t>
      </w:r>
    </w:p>
    <w:p w14:paraId="738129CD" w14:textId="7D0EB956" w:rsidR="00A56FCD" w:rsidRPr="006E39F1" w:rsidRDefault="00A56FCD" w:rsidP="00C80F16">
      <w:pPr>
        <w:pStyle w:val="ListParagraph"/>
        <w:numPr>
          <w:ilvl w:val="2"/>
          <w:numId w:val="3"/>
        </w:numPr>
        <w:rPr>
          <w:rFonts w:ascii="Times New Roman" w:hAnsi="Times New Roman" w:cs="Times New Roman"/>
        </w:rPr>
      </w:pPr>
      <w:r w:rsidRPr="006E39F1">
        <w:rPr>
          <w:rFonts w:ascii="Times New Roman" w:hAnsi="Times New Roman" w:cs="Times New Roman"/>
        </w:rPr>
        <w:t>Sanabria: Students going into education are also very interested in this option. About a third of students will likely choose this pathway.</w:t>
      </w:r>
    </w:p>
    <w:p w14:paraId="5A0C63E1" w14:textId="3EB63AB0" w:rsidR="00C80F16" w:rsidRPr="006E39F1" w:rsidRDefault="009B3828" w:rsidP="00A56FCD">
      <w:pPr>
        <w:pStyle w:val="ListParagraph"/>
        <w:numPr>
          <w:ilvl w:val="1"/>
          <w:numId w:val="3"/>
        </w:numPr>
        <w:rPr>
          <w:rFonts w:ascii="Times New Roman" w:hAnsi="Times New Roman" w:cs="Times New Roman"/>
        </w:rPr>
      </w:pPr>
      <w:r w:rsidRPr="006E39F1">
        <w:rPr>
          <w:rFonts w:ascii="Times New Roman" w:hAnsi="Times New Roman" w:cs="Times New Roman"/>
        </w:rPr>
        <w:t>Committee member</w:t>
      </w:r>
      <w:r w:rsidR="00A56FCD" w:rsidRPr="006E39F1">
        <w:rPr>
          <w:rFonts w:ascii="Times New Roman" w:hAnsi="Times New Roman" w:cs="Times New Roman"/>
        </w:rPr>
        <w:t xml:space="preserve">: Will there be any distinction noted on the </w:t>
      </w:r>
      <w:r w:rsidR="00524116">
        <w:rPr>
          <w:rFonts w:ascii="Times New Roman" w:hAnsi="Times New Roman" w:cs="Times New Roman"/>
        </w:rPr>
        <w:t>transcript</w:t>
      </w:r>
      <w:r w:rsidR="00A56FCD" w:rsidRPr="006E39F1">
        <w:rPr>
          <w:rFonts w:ascii="Times New Roman" w:hAnsi="Times New Roman" w:cs="Times New Roman"/>
        </w:rPr>
        <w:t>?</w:t>
      </w:r>
    </w:p>
    <w:p w14:paraId="3D2DA551" w14:textId="28609252" w:rsidR="00A56FCD" w:rsidRPr="006E39F1" w:rsidRDefault="00A56FCD" w:rsidP="00C80F16">
      <w:pPr>
        <w:pStyle w:val="ListParagraph"/>
        <w:numPr>
          <w:ilvl w:val="2"/>
          <w:numId w:val="3"/>
        </w:numPr>
        <w:rPr>
          <w:rFonts w:ascii="Times New Roman" w:hAnsi="Times New Roman" w:cs="Times New Roman"/>
        </w:rPr>
      </w:pPr>
      <w:r w:rsidRPr="006E39F1">
        <w:rPr>
          <w:rFonts w:ascii="Times New Roman" w:hAnsi="Times New Roman" w:cs="Times New Roman"/>
        </w:rPr>
        <w:t>Romero: No, it will still appear as the Spanish minor.</w:t>
      </w:r>
    </w:p>
    <w:p w14:paraId="77C3489E" w14:textId="40D46187" w:rsidR="00A56FCD" w:rsidRPr="006E39F1" w:rsidRDefault="00C80F16" w:rsidP="00A56FCD">
      <w:pPr>
        <w:pStyle w:val="ListParagraph"/>
        <w:numPr>
          <w:ilvl w:val="1"/>
          <w:numId w:val="3"/>
        </w:numPr>
        <w:rPr>
          <w:rFonts w:ascii="Times New Roman" w:hAnsi="Times New Roman" w:cs="Times New Roman"/>
        </w:rPr>
      </w:pPr>
      <w:r w:rsidRPr="006E39F1">
        <w:rPr>
          <w:rFonts w:ascii="Times New Roman" w:hAnsi="Times New Roman" w:cs="Times New Roman"/>
        </w:rPr>
        <w:t xml:space="preserve">Letter of Motion, Staley; unanimously approved. </w:t>
      </w:r>
    </w:p>
    <w:p w14:paraId="0FA3B1F2"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Update: Small Majors (A. Martin)</w:t>
      </w:r>
    </w:p>
    <w:p w14:paraId="4439777D" w14:textId="277FB3B5" w:rsidR="00C80F16" w:rsidRPr="006E39F1" w:rsidRDefault="00C80F16" w:rsidP="00183B05">
      <w:pPr>
        <w:pStyle w:val="ListParagraph"/>
        <w:numPr>
          <w:ilvl w:val="1"/>
          <w:numId w:val="3"/>
        </w:numPr>
        <w:rPr>
          <w:rFonts w:ascii="Times New Roman" w:hAnsi="Times New Roman" w:cs="Times New Roman"/>
        </w:rPr>
      </w:pPr>
      <w:r w:rsidRPr="006E39F1">
        <w:rPr>
          <w:rFonts w:ascii="Times New Roman" w:hAnsi="Times New Roman" w:cs="Times New Roman"/>
        </w:rPr>
        <w:t xml:space="preserve">Martin: </w:t>
      </w:r>
      <w:r w:rsidR="00F03767" w:rsidRPr="006E39F1">
        <w:rPr>
          <w:rFonts w:ascii="Times New Roman" w:hAnsi="Times New Roman" w:cs="Times New Roman"/>
        </w:rPr>
        <w:t xml:space="preserve">As we have discussed in the past, </w:t>
      </w:r>
      <w:r w:rsidRPr="006E39F1">
        <w:rPr>
          <w:rFonts w:ascii="Times New Roman" w:hAnsi="Times New Roman" w:cs="Times New Roman"/>
        </w:rPr>
        <w:t>SB1 requires graduate thresholds for small majors</w:t>
      </w:r>
      <w:r w:rsidR="00183B05" w:rsidRPr="006E39F1">
        <w:rPr>
          <w:rFonts w:ascii="Times New Roman" w:hAnsi="Times New Roman" w:cs="Times New Roman"/>
        </w:rPr>
        <w:t>. The three options we have for programs</w:t>
      </w:r>
      <w:r w:rsidR="00F801AD" w:rsidRPr="006E39F1">
        <w:rPr>
          <w:rFonts w:ascii="Times New Roman" w:hAnsi="Times New Roman" w:cs="Times New Roman"/>
        </w:rPr>
        <w:t xml:space="preserve"> that have been affected by this</w:t>
      </w:r>
      <w:r w:rsidR="00183B05" w:rsidRPr="006E39F1">
        <w:rPr>
          <w:rFonts w:ascii="Times New Roman" w:hAnsi="Times New Roman" w:cs="Times New Roman"/>
        </w:rPr>
        <w:t xml:space="preserve"> are to deactivate</w:t>
      </w:r>
      <w:r w:rsidRPr="006E39F1">
        <w:rPr>
          <w:rFonts w:ascii="Times New Roman" w:hAnsi="Times New Roman" w:cs="Times New Roman"/>
        </w:rPr>
        <w:t xml:space="preserve"> </w:t>
      </w:r>
      <w:r w:rsidR="00F801AD" w:rsidRPr="006E39F1">
        <w:rPr>
          <w:rFonts w:ascii="Times New Roman" w:hAnsi="Times New Roman" w:cs="Times New Roman"/>
        </w:rPr>
        <w:t xml:space="preserve">the </w:t>
      </w:r>
      <w:r w:rsidRPr="006E39F1">
        <w:rPr>
          <w:rFonts w:ascii="Times New Roman" w:hAnsi="Times New Roman" w:cs="Times New Roman"/>
        </w:rPr>
        <w:t>majors</w:t>
      </w:r>
      <w:r w:rsidR="00183B05" w:rsidRPr="006E39F1">
        <w:rPr>
          <w:rFonts w:ascii="Times New Roman" w:hAnsi="Times New Roman" w:cs="Times New Roman"/>
        </w:rPr>
        <w:t>, r</w:t>
      </w:r>
      <w:r w:rsidRPr="006E39F1">
        <w:rPr>
          <w:rFonts w:ascii="Times New Roman" w:hAnsi="Times New Roman" w:cs="Times New Roman"/>
        </w:rPr>
        <w:t>equest a state waiver (</w:t>
      </w:r>
      <w:r w:rsidR="00183B05" w:rsidRPr="006E39F1">
        <w:rPr>
          <w:rFonts w:ascii="Times New Roman" w:hAnsi="Times New Roman" w:cs="Times New Roman"/>
        </w:rPr>
        <w:t>for example, we did this for</w:t>
      </w:r>
      <w:r w:rsidRPr="006E39F1">
        <w:rPr>
          <w:rFonts w:ascii="Times New Roman" w:hAnsi="Times New Roman" w:cs="Times New Roman"/>
        </w:rPr>
        <w:t xml:space="preserve"> </w:t>
      </w:r>
      <w:r w:rsidR="00183B05" w:rsidRPr="006E39F1">
        <w:rPr>
          <w:rFonts w:ascii="Times New Roman" w:hAnsi="Times New Roman" w:cs="Times New Roman"/>
        </w:rPr>
        <w:t>M</w:t>
      </w:r>
      <w:r w:rsidRPr="006E39F1">
        <w:rPr>
          <w:rFonts w:ascii="Times New Roman" w:hAnsi="Times New Roman" w:cs="Times New Roman"/>
        </w:rPr>
        <w:t xml:space="preserve">usic </w:t>
      </w:r>
      <w:r w:rsidR="00183B05" w:rsidRPr="006E39F1">
        <w:rPr>
          <w:rFonts w:ascii="Times New Roman" w:hAnsi="Times New Roman" w:cs="Times New Roman"/>
        </w:rPr>
        <w:t>C</w:t>
      </w:r>
      <w:r w:rsidRPr="006E39F1">
        <w:rPr>
          <w:rFonts w:ascii="Times New Roman" w:hAnsi="Times New Roman" w:cs="Times New Roman"/>
        </w:rPr>
        <w:t>omposition</w:t>
      </w:r>
      <w:r w:rsidR="00183B05" w:rsidRPr="006E39F1">
        <w:rPr>
          <w:rFonts w:ascii="Times New Roman" w:hAnsi="Times New Roman" w:cs="Times New Roman"/>
        </w:rPr>
        <w:t xml:space="preserve"> because there is expected growth in the program), or r</w:t>
      </w:r>
      <w:r w:rsidRPr="006E39F1">
        <w:rPr>
          <w:rFonts w:ascii="Times New Roman" w:hAnsi="Times New Roman" w:cs="Times New Roman"/>
        </w:rPr>
        <w:t xml:space="preserve">oll small majors into </w:t>
      </w:r>
      <w:r w:rsidR="00524116">
        <w:rPr>
          <w:rFonts w:ascii="Times New Roman" w:hAnsi="Times New Roman" w:cs="Times New Roman"/>
        </w:rPr>
        <w:t>specializations</w:t>
      </w:r>
      <w:r w:rsidRPr="006E39F1">
        <w:rPr>
          <w:rFonts w:ascii="Times New Roman" w:hAnsi="Times New Roman" w:cs="Times New Roman"/>
        </w:rPr>
        <w:t xml:space="preserve"> within a larger major. </w:t>
      </w:r>
      <w:r w:rsidR="00183B05" w:rsidRPr="006E39F1">
        <w:rPr>
          <w:rFonts w:ascii="Times New Roman" w:hAnsi="Times New Roman" w:cs="Times New Roman"/>
        </w:rPr>
        <w:t xml:space="preserve">For this </w:t>
      </w:r>
      <w:r w:rsidR="00457936" w:rsidRPr="006E39F1">
        <w:rPr>
          <w:rFonts w:ascii="Times New Roman" w:hAnsi="Times New Roman" w:cs="Times New Roman"/>
        </w:rPr>
        <w:t xml:space="preserve">last </w:t>
      </w:r>
      <w:r w:rsidR="00183B05" w:rsidRPr="006E39F1">
        <w:rPr>
          <w:rFonts w:ascii="Times New Roman" w:hAnsi="Times New Roman" w:cs="Times New Roman"/>
        </w:rPr>
        <w:t>option, t</w:t>
      </w:r>
      <w:r w:rsidRPr="006E39F1">
        <w:rPr>
          <w:rFonts w:ascii="Times New Roman" w:hAnsi="Times New Roman" w:cs="Times New Roman"/>
        </w:rPr>
        <w:t>hese</w:t>
      </w:r>
      <w:r w:rsidR="00183B05" w:rsidRPr="006E39F1">
        <w:rPr>
          <w:rFonts w:ascii="Times New Roman" w:hAnsi="Times New Roman" w:cs="Times New Roman"/>
        </w:rPr>
        <w:t xml:space="preserve"> </w:t>
      </w:r>
      <w:r w:rsidR="00524116">
        <w:rPr>
          <w:rFonts w:ascii="Times New Roman" w:hAnsi="Times New Roman" w:cs="Times New Roman"/>
        </w:rPr>
        <w:t>specializations</w:t>
      </w:r>
      <w:r w:rsidRPr="006E39F1">
        <w:rPr>
          <w:rFonts w:ascii="Times New Roman" w:hAnsi="Times New Roman" w:cs="Times New Roman"/>
        </w:rPr>
        <w:t xml:space="preserve"> would appear on student transcripts</w:t>
      </w:r>
      <w:r w:rsidR="00457936" w:rsidRPr="006E39F1">
        <w:rPr>
          <w:rFonts w:ascii="Times New Roman" w:hAnsi="Times New Roman" w:cs="Times New Roman"/>
        </w:rPr>
        <w:t xml:space="preserve">. </w:t>
      </w:r>
    </w:p>
    <w:p w14:paraId="3BF06E58" w14:textId="77777777" w:rsidR="00183B05" w:rsidRPr="006E39F1" w:rsidRDefault="00183B05" w:rsidP="00183B05">
      <w:pPr>
        <w:pStyle w:val="ListParagraph"/>
        <w:ind w:left="1800"/>
        <w:rPr>
          <w:rFonts w:ascii="Times New Roman" w:hAnsi="Times New Roman" w:cs="Times New Roman"/>
        </w:rPr>
      </w:pPr>
    </w:p>
    <w:p w14:paraId="6BA9C83B" w14:textId="102980DB" w:rsidR="00C80F16" w:rsidRPr="006E39F1" w:rsidRDefault="00183B05" w:rsidP="00183B05">
      <w:pPr>
        <w:pStyle w:val="ListParagraph"/>
        <w:ind w:left="1800"/>
        <w:rPr>
          <w:rFonts w:ascii="Times New Roman" w:hAnsi="Times New Roman" w:cs="Times New Roman"/>
        </w:rPr>
      </w:pPr>
      <w:r w:rsidRPr="006E39F1">
        <w:rPr>
          <w:rFonts w:ascii="Times New Roman" w:hAnsi="Times New Roman" w:cs="Times New Roman"/>
        </w:rPr>
        <w:t>The Ohio Department of Higher Education</w:t>
      </w:r>
      <w:r w:rsidR="00C80F16" w:rsidRPr="006E39F1">
        <w:rPr>
          <w:rFonts w:ascii="Times New Roman" w:hAnsi="Times New Roman" w:cs="Times New Roman"/>
        </w:rPr>
        <w:t xml:space="preserve"> has </w:t>
      </w:r>
      <w:r w:rsidRPr="006E39F1">
        <w:rPr>
          <w:rFonts w:ascii="Times New Roman" w:hAnsi="Times New Roman" w:cs="Times New Roman"/>
        </w:rPr>
        <w:t xml:space="preserve">now </w:t>
      </w:r>
      <w:r w:rsidR="00C80F16" w:rsidRPr="006E39F1">
        <w:rPr>
          <w:rFonts w:ascii="Times New Roman" w:hAnsi="Times New Roman" w:cs="Times New Roman"/>
        </w:rPr>
        <w:t xml:space="preserve">provided a form for approval when combining majors. </w:t>
      </w:r>
      <w:r w:rsidRPr="006E39F1">
        <w:rPr>
          <w:rFonts w:ascii="Times New Roman" w:hAnsi="Times New Roman" w:cs="Times New Roman"/>
        </w:rPr>
        <w:t>Since u</w:t>
      </w:r>
      <w:r w:rsidR="00C80F16" w:rsidRPr="006E39F1">
        <w:rPr>
          <w:rFonts w:ascii="Times New Roman" w:hAnsi="Times New Roman" w:cs="Times New Roman"/>
        </w:rPr>
        <w:t>nits still have to go through the</w:t>
      </w:r>
      <w:r w:rsidRPr="006E39F1">
        <w:rPr>
          <w:rFonts w:ascii="Times New Roman" w:hAnsi="Times New Roman" w:cs="Times New Roman"/>
        </w:rPr>
        <w:t xml:space="preserve"> </w:t>
      </w:r>
      <w:r w:rsidR="00457936" w:rsidRPr="006E39F1">
        <w:rPr>
          <w:rFonts w:ascii="Times New Roman" w:hAnsi="Times New Roman" w:cs="Times New Roman"/>
        </w:rPr>
        <w:t xml:space="preserve">usual </w:t>
      </w:r>
      <w:r w:rsidR="00C80F16" w:rsidRPr="006E39F1">
        <w:rPr>
          <w:rFonts w:ascii="Times New Roman" w:hAnsi="Times New Roman" w:cs="Times New Roman"/>
        </w:rPr>
        <w:t>curricular proces</w:t>
      </w:r>
      <w:r w:rsidR="00457936" w:rsidRPr="006E39F1">
        <w:rPr>
          <w:rFonts w:ascii="Times New Roman" w:hAnsi="Times New Roman" w:cs="Times New Roman"/>
        </w:rPr>
        <w:t>s when doing this</w:t>
      </w:r>
      <w:r w:rsidRPr="006E39F1">
        <w:rPr>
          <w:rFonts w:ascii="Times New Roman" w:hAnsi="Times New Roman" w:cs="Times New Roman"/>
        </w:rPr>
        <w:t>, t</w:t>
      </w:r>
      <w:r w:rsidR="00C80F16" w:rsidRPr="006E39F1">
        <w:rPr>
          <w:rFonts w:ascii="Times New Roman" w:hAnsi="Times New Roman" w:cs="Times New Roman"/>
        </w:rPr>
        <w:t xml:space="preserve">he goal is to minimize </w:t>
      </w:r>
      <w:r w:rsidR="00457936" w:rsidRPr="006E39F1">
        <w:rPr>
          <w:rFonts w:ascii="Times New Roman" w:hAnsi="Times New Roman" w:cs="Times New Roman"/>
        </w:rPr>
        <w:t xml:space="preserve">the </w:t>
      </w:r>
      <w:r w:rsidR="00C80F16" w:rsidRPr="006E39F1">
        <w:rPr>
          <w:rFonts w:ascii="Times New Roman" w:hAnsi="Times New Roman" w:cs="Times New Roman"/>
        </w:rPr>
        <w:t xml:space="preserve">workload. </w:t>
      </w:r>
      <w:r w:rsidRPr="006E39F1">
        <w:rPr>
          <w:rFonts w:ascii="Times New Roman" w:hAnsi="Times New Roman" w:cs="Times New Roman"/>
        </w:rPr>
        <w:t>The Department of Near Eastern and South Asian Literatures and Cultures</w:t>
      </w:r>
      <w:r w:rsidR="00C80F16" w:rsidRPr="006E39F1">
        <w:rPr>
          <w:rFonts w:ascii="Times New Roman" w:hAnsi="Times New Roman" w:cs="Times New Roman"/>
        </w:rPr>
        <w:t xml:space="preserve"> already has</w:t>
      </w:r>
      <w:r w:rsidRPr="006E39F1">
        <w:rPr>
          <w:rFonts w:ascii="Times New Roman" w:hAnsi="Times New Roman" w:cs="Times New Roman"/>
        </w:rPr>
        <w:t xml:space="preserve"> created a</w:t>
      </w:r>
      <w:r w:rsidR="00C80F16" w:rsidRPr="006E39F1">
        <w:rPr>
          <w:rFonts w:ascii="Times New Roman" w:hAnsi="Times New Roman" w:cs="Times New Roman"/>
        </w:rPr>
        <w:t xml:space="preserve"> proposal for a new major that will go to ASCC and CAA, and the ODHE form will be completed in parallel. Some units may</w:t>
      </w:r>
      <w:r w:rsidRPr="006E39F1">
        <w:rPr>
          <w:rFonts w:ascii="Times New Roman" w:hAnsi="Times New Roman" w:cs="Times New Roman"/>
        </w:rPr>
        <w:t xml:space="preserve"> already</w:t>
      </w:r>
      <w:r w:rsidR="00C80F16" w:rsidRPr="006E39F1">
        <w:rPr>
          <w:rFonts w:ascii="Times New Roman" w:hAnsi="Times New Roman" w:cs="Times New Roman"/>
        </w:rPr>
        <w:t xml:space="preserve"> have proposals </w:t>
      </w:r>
      <w:r w:rsidRPr="006E39F1">
        <w:rPr>
          <w:rFonts w:ascii="Times New Roman" w:hAnsi="Times New Roman" w:cs="Times New Roman"/>
        </w:rPr>
        <w:t xml:space="preserve">created </w:t>
      </w:r>
      <w:r w:rsidR="00C80F16" w:rsidRPr="006E39F1">
        <w:rPr>
          <w:rFonts w:ascii="Times New Roman" w:hAnsi="Times New Roman" w:cs="Times New Roman"/>
        </w:rPr>
        <w:t>that do not fit neatly with ODHE expectations; others may rely more heavily on the ODHE form when preparing proposals. Randy Smith is supportive of both approaches. We reviewed the ODHE form and identified which pieces are necessary for curricular review</w:t>
      </w:r>
      <w:r w:rsidRPr="006E39F1">
        <w:rPr>
          <w:rFonts w:ascii="Times New Roman" w:hAnsi="Times New Roman" w:cs="Times New Roman"/>
        </w:rPr>
        <w:t>, but</w:t>
      </w:r>
      <w:r w:rsidR="00C80F16" w:rsidRPr="006E39F1">
        <w:rPr>
          <w:rFonts w:ascii="Times New Roman" w:hAnsi="Times New Roman" w:cs="Times New Roman"/>
        </w:rPr>
        <w:t xml:space="preserve"> other pieces</w:t>
      </w:r>
      <w:r w:rsidRPr="006E39F1">
        <w:rPr>
          <w:rFonts w:ascii="Times New Roman" w:hAnsi="Times New Roman" w:cs="Times New Roman"/>
        </w:rPr>
        <w:t xml:space="preserve"> of the form </w:t>
      </w:r>
      <w:r w:rsidR="00C80F16" w:rsidRPr="006E39F1">
        <w:rPr>
          <w:rFonts w:ascii="Times New Roman" w:hAnsi="Times New Roman" w:cs="Times New Roman"/>
        </w:rPr>
        <w:t xml:space="preserve">can be completed while the proposal moves </w:t>
      </w:r>
      <w:r w:rsidRPr="006E39F1">
        <w:rPr>
          <w:rFonts w:ascii="Times New Roman" w:hAnsi="Times New Roman" w:cs="Times New Roman"/>
        </w:rPr>
        <w:t>through the review process</w:t>
      </w:r>
      <w:r w:rsidR="00C80F16" w:rsidRPr="006E39F1">
        <w:rPr>
          <w:rFonts w:ascii="Times New Roman" w:hAnsi="Times New Roman" w:cs="Times New Roman"/>
        </w:rPr>
        <w:t xml:space="preserve">. </w:t>
      </w:r>
    </w:p>
    <w:p w14:paraId="5E191FEF" w14:textId="137FFEFA" w:rsidR="00183B05" w:rsidRPr="006E39F1" w:rsidRDefault="009B3828" w:rsidP="00183B05">
      <w:pPr>
        <w:pStyle w:val="ListParagraph"/>
        <w:numPr>
          <w:ilvl w:val="1"/>
          <w:numId w:val="3"/>
        </w:numPr>
        <w:rPr>
          <w:rFonts w:ascii="Times New Roman" w:hAnsi="Times New Roman" w:cs="Times New Roman"/>
        </w:rPr>
      </w:pPr>
      <w:r w:rsidRPr="006E39F1">
        <w:rPr>
          <w:rFonts w:ascii="Times New Roman" w:hAnsi="Times New Roman" w:cs="Times New Roman"/>
        </w:rPr>
        <w:t>Committee member</w:t>
      </w:r>
      <w:r w:rsidR="00C80F16" w:rsidRPr="006E39F1">
        <w:rPr>
          <w:rFonts w:ascii="Times New Roman" w:hAnsi="Times New Roman" w:cs="Times New Roman"/>
        </w:rPr>
        <w:t xml:space="preserve">: How does </w:t>
      </w:r>
      <w:r w:rsidR="00183B05" w:rsidRPr="006E39F1">
        <w:rPr>
          <w:rFonts w:ascii="Times New Roman" w:hAnsi="Times New Roman" w:cs="Times New Roman"/>
        </w:rPr>
        <w:t>this requirement of SB1 impact</w:t>
      </w:r>
      <w:r w:rsidR="00C80F16" w:rsidRPr="006E39F1">
        <w:rPr>
          <w:rFonts w:ascii="Times New Roman" w:hAnsi="Times New Roman" w:cs="Times New Roman"/>
        </w:rPr>
        <w:t xml:space="preserve"> new majors?</w:t>
      </w:r>
    </w:p>
    <w:p w14:paraId="38D5835C" w14:textId="5E2F19CA" w:rsidR="00C80F16" w:rsidRPr="006E39F1" w:rsidRDefault="00C80F16" w:rsidP="00183B05">
      <w:pPr>
        <w:pStyle w:val="ListParagraph"/>
        <w:numPr>
          <w:ilvl w:val="2"/>
          <w:numId w:val="3"/>
        </w:numPr>
        <w:rPr>
          <w:rFonts w:ascii="Times New Roman" w:hAnsi="Times New Roman" w:cs="Times New Roman"/>
        </w:rPr>
      </w:pPr>
      <w:r w:rsidRPr="006E39F1">
        <w:rPr>
          <w:rFonts w:ascii="Times New Roman" w:hAnsi="Times New Roman" w:cs="Times New Roman"/>
        </w:rPr>
        <w:t xml:space="preserve">Martin: </w:t>
      </w:r>
      <w:r w:rsidR="00183B05" w:rsidRPr="006E39F1">
        <w:rPr>
          <w:rFonts w:ascii="Times New Roman" w:hAnsi="Times New Roman" w:cs="Times New Roman"/>
        </w:rPr>
        <w:t>Since most major</w:t>
      </w:r>
      <w:r w:rsidR="0091590E" w:rsidRPr="006E39F1">
        <w:rPr>
          <w:rFonts w:ascii="Times New Roman" w:hAnsi="Times New Roman" w:cs="Times New Roman"/>
        </w:rPr>
        <w:t>s</w:t>
      </w:r>
      <w:r w:rsidR="00183B05" w:rsidRPr="006E39F1">
        <w:rPr>
          <w:rFonts w:ascii="Times New Roman" w:hAnsi="Times New Roman" w:cs="Times New Roman"/>
        </w:rPr>
        <w:t xml:space="preserve"> begin small, n</w:t>
      </w:r>
      <w:r w:rsidRPr="006E39F1">
        <w:rPr>
          <w:rFonts w:ascii="Times New Roman" w:hAnsi="Times New Roman" w:cs="Times New Roman"/>
        </w:rPr>
        <w:t xml:space="preserve">ew majors have a three-year window to demonstrate viability. </w:t>
      </w:r>
    </w:p>
    <w:p w14:paraId="721D358A" w14:textId="56E8B059" w:rsidR="00C80F16" w:rsidRPr="006E39F1" w:rsidRDefault="009B3828" w:rsidP="00F57011">
      <w:pPr>
        <w:pStyle w:val="ListParagraph"/>
        <w:numPr>
          <w:ilvl w:val="2"/>
          <w:numId w:val="3"/>
        </w:numPr>
        <w:rPr>
          <w:rFonts w:ascii="Times New Roman" w:hAnsi="Times New Roman" w:cs="Times New Roman"/>
        </w:rPr>
      </w:pPr>
      <w:r w:rsidRPr="006E39F1">
        <w:rPr>
          <w:rFonts w:ascii="Times New Roman" w:hAnsi="Times New Roman" w:cs="Times New Roman"/>
        </w:rPr>
        <w:t>Committee member</w:t>
      </w:r>
      <w:r w:rsidR="00C80F16" w:rsidRPr="006E39F1">
        <w:rPr>
          <w:rFonts w:ascii="Times New Roman" w:hAnsi="Times New Roman" w:cs="Times New Roman"/>
        </w:rPr>
        <w:t>: When does the three-year timer start?</w:t>
      </w:r>
    </w:p>
    <w:p w14:paraId="5E8DCF00" w14:textId="101DA0EF" w:rsidR="00C80F16" w:rsidRPr="006E39F1" w:rsidRDefault="00C80F16" w:rsidP="00183B05">
      <w:pPr>
        <w:pStyle w:val="ListParagraph"/>
        <w:numPr>
          <w:ilvl w:val="2"/>
          <w:numId w:val="3"/>
        </w:numPr>
        <w:rPr>
          <w:rFonts w:ascii="Times New Roman" w:hAnsi="Times New Roman" w:cs="Times New Roman"/>
        </w:rPr>
      </w:pPr>
      <w:r w:rsidRPr="006E39F1">
        <w:rPr>
          <w:rFonts w:ascii="Times New Roman" w:hAnsi="Times New Roman" w:cs="Times New Roman"/>
        </w:rPr>
        <w:t xml:space="preserve">Martin: </w:t>
      </w:r>
      <w:r w:rsidR="0091590E" w:rsidRPr="006E39F1">
        <w:rPr>
          <w:rFonts w:ascii="Times New Roman" w:hAnsi="Times New Roman" w:cs="Times New Roman"/>
        </w:rPr>
        <w:t>It begins when</w:t>
      </w:r>
      <w:r w:rsidRPr="006E39F1">
        <w:rPr>
          <w:rFonts w:ascii="Times New Roman" w:hAnsi="Times New Roman" w:cs="Times New Roman"/>
        </w:rPr>
        <w:t xml:space="preserve"> the first student</w:t>
      </w:r>
      <w:r w:rsidR="00F57011" w:rsidRPr="006E39F1">
        <w:rPr>
          <w:rFonts w:ascii="Times New Roman" w:hAnsi="Times New Roman" w:cs="Times New Roman"/>
        </w:rPr>
        <w:t xml:space="preserve"> of the major</w:t>
      </w:r>
      <w:r w:rsidRPr="006E39F1">
        <w:rPr>
          <w:rFonts w:ascii="Times New Roman" w:hAnsi="Times New Roman" w:cs="Times New Roman"/>
        </w:rPr>
        <w:t xml:space="preserve"> graduates.</w:t>
      </w:r>
    </w:p>
    <w:p w14:paraId="15EE381B"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Update: Civics Requirement (A. Martin)</w:t>
      </w:r>
    </w:p>
    <w:p w14:paraId="4B285CA4" w14:textId="61868356" w:rsidR="00FF00C7" w:rsidRPr="006E39F1" w:rsidRDefault="00FF00C7" w:rsidP="00FF00C7">
      <w:pPr>
        <w:pStyle w:val="ListParagraph"/>
        <w:numPr>
          <w:ilvl w:val="1"/>
          <w:numId w:val="3"/>
        </w:numPr>
        <w:rPr>
          <w:rFonts w:ascii="Times New Roman" w:hAnsi="Times New Roman" w:cs="Times New Roman"/>
        </w:rPr>
      </w:pPr>
      <w:r w:rsidRPr="006E39F1">
        <w:rPr>
          <w:rFonts w:ascii="Times New Roman" w:hAnsi="Times New Roman" w:cs="Times New Roman"/>
        </w:rPr>
        <w:t xml:space="preserve">Martin: The civics course required by SB1 must be approved by the state and included in the </w:t>
      </w:r>
      <w:r w:rsidR="00524116">
        <w:rPr>
          <w:rFonts w:ascii="Times New Roman" w:hAnsi="Times New Roman" w:cs="Times New Roman"/>
        </w:rPr>
        <w:t>OT36</w:t>
      </w:r>
      <w:r w:rsidRPr="006E39F1">
        <w:rPr>
          <w:rFonts w:ascii="Times New Roman" w:hAnsi="Times New Roman" w:cs="Times New Roman"/>
        </w:rPr>
        <w:t xml:space="preserve">, which means they must be GEN Foundation courses. They still go through the usual approval process. We have a staff member assisting units with the </w:t>
      </w:r>
      <w:r w:rsidR="00524116">
        <w:rPr>
          <w:rFonts w:ascii="Times New Roman" w:hAnsi="Times New Roman" w:cs="Times New Roman"/>
        </w:rPr>
        <w:t>OT36</w:t>
      </w:r>
      <w:r w:rsidRPr="006E39F1">
        <w:rPr>
          <w:rFonts w:ascii="Times New Roman" w:hAnsi="Times New Roman" w:cs="Times New Roman"/>
        </w:rPr>
        <w:t xml:space="preserve"> forms </w:t>
      </w:r>
      <w:r w:rsidR="0091590E" w:rsidRPr="006E39F1">
        <w:rPr>
          <w:rFonts w:ascii="Times New Roman" w:hAnsi="Times New Roman" w:cs="Times New Roman"/>
        </w:rPr>
        <w:t>and</w:t>
      </w:r>
      <w:r w:rsidRPr="006E39F1">
        <w:rPr>
          <w:rFonts w:ascii="Times New Roman" w:hAnsi="Times New Roman" w:cs="Times New Roman"/>
        </w:rPr>
        <w:t xml:space="preserve"> once completed, they go to Randy Smith </w:t>
      </w:r>
      <w:r w:rsidR="0091590E" w:rsidRPr="006E39F1">
        <w:rPr>
          <w:rFonts w:ascii="Times New Roman" w:hAnsi="Times New Roman" w:cs="Times New Roman"/>
        </w:rPr>
        <w:t>to</w:t>
      </w:r>
      <w:r w:rsidRPr="006E39F1">
        <w:rPr>
          <w:rFonts w:ascii="Times New Roman" w:hAnsi="Times New Roman" w:cs="Times New Roman"/>
        </w:rPr>
        <w:t xml:space="preserve"> sign-off, then to ODHE for approval. We already have many ASC courses in the pipeline to meet the civics requirement. The Registrar will give all courses that can be used for credit as a civics course a “C” designation in the system. We have also been discussing a</w:t>
      </w:r>
      <w:r w:rsidR="00524116">
        <w:rPr>
          <w:rFonts w:ascii="Times New Roman" w:hAnsi="Times New Roman" w:cs="Times New Roman"/>
        </w:rPr>
        <w:t>n additional</w:t>
      </w:r>
      <w:r w:rsidRPr="006E39F1">
        <w:rPr>
          <w:rFonts w:ascii="Times New Roman" w:hAnsi="Times New Roman" w:cs="Times New Roman"/>
        </w:rPr>
        <w:t xml:space="preserve"> requirement in the College of Arts and Sciences for BA students. Essentially, they would need to take an additional course in the same GEN category as their civics course. This would also address the </w:t>
      </w:r>
      <w:r w:rsidR="001C6233" w:rsidRPr="006E39F1">
        <w:rPr>
          <w:rFonts w:ascii="Times New Roman" w:hAnsi="Times New Roman" w:cs="Times New Roman"/>
        </w:rPr>
        <w:t>issue</w:t>
      </w:r>
      <w:r w:rsidRPr="006E39F1">
        <w:rPr>
          <w:rFonts w:ascii="Times New Roman" w:hAnsi="Times New Roman" w:cs="Times New Roman"/>
        </w:rPr>
        <w:t xml:space="preserve"> </w:t>
      </w:r>
      <w:r w:rsidR="001C6233" w:rsidRPr="006E39F1">
        <w:rPr>
          <w:rFonts w:ascii="Times New Roman" w:hAnsi="Times New Roman" w:cs="Times New Roman"/>
        </w:rPr>
        <w:t xml:space="preserve">of distinguishing the BA from the BS in a unique way. </w:t>
      </w:r>
    </w:p>
    <w:p w14:paraId="6676DFDC" w14:textId="779482F0" w:rsidR="00FF00C7" w:rsidRPr="006E39F1" w:rsidRDefault="00FF00C7" w:rsidP="00FF00C7">
      <w:pPr>
        <w:pStyle w:val="ListParagraph"/>
        <w:numPr>
          <w:ilvl w:val="1"/>
          <w:numId w:val="3"/>
        </w:numPr>
        <w:rPr>
          <w:rFonts w:ascii="Times New Roman" w:hAnsi="Times New Roman" w:cs="Times New Roman"/>
        </w:rPr>
      </w:pPr>
      <w:r w:rsidRPr="006E39F1">
        <w:rPr>
          <w:rFonts w:ascii="Times New Roman" w:hAnsi="Times New Roman" w:cs="Times New Roman"/>
        </w:rPr>
        <w:t xml:space="preserve">Committee member: Is there any sense whether ODHE is pushing back on our courses? </w:t>
      </w:r>
    </w:p>
    <w:p w14:paraId="6E2D9909" w14:textId="6657FDF1" w:rsidR="00FF00C7" w:rsidRPr="006E39F1" w:rsidRDefault="00FF00C7" w:rsidP="00FF00C7">
      <w:pPr>
        <w:pStyle w:val="ListParagraph"/>
        <w:numPr>
          <w:ilvl w:val="2"/>
          <w:numId w:val="3"/>
        </w:numPr>
        <w:rPr>
          <w:rFonts w:ascii="Times New Roman" w:hAnsi="Times New Roman" w:cs="Times New Roman"/>
        </w:rPr>
      </w:pPr>
      <w:r w:rsidRPr="006E39F1">
        <w:rPr>
          <w:rFonts w:ascii="Times New Roman" w:hAnsi="Times New Roman" w:cs="Times New Roman"/>
        </w:rPr>
        <w:t>Vankeerbergen: The review is completed by a single ODHE staff member using a checklist. It does not go to a faculty committee. If the course is already an existing course, ODHE wants it to have OT36 status so that Foundation</w:t>
      </w:r>
      <w:r w:rsidR="001C6233" w:rsidRPr="006E39F1">
        <w:rPr>
          <w:rFonts w:ascii="Times New Roman" w:hAnsi="Times New Roman" w:cs="Times New Roman"/>
        </w:rPr>
        <w:t>s</w:t>
      </w:r>
      <w:r w:rsidRPr="006E39F1">
        <w:rPr>
          <w:rFonts w:ascii="Times New Roman" w:hAnsi="Times New Roman" w:cs="Times New Roman"/>
        </w:rPr>
        <w:t xml:space="preserve"> courses transfer seamlessly across institutions. OT36 determinations go through a statewide faculty panel. However, because the civics requirement is handled by one reviewer, approval could occur off the usual schedule.</w:t>
      </w:r>
    </w:p>
    <w:p w14:paraId="6EEB1735" w14:textId="6FD49375"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Informational Item: ASC Honors Quality Courses (</w:t>
      </w:r>
      <w:r w:rsidR="00FF00C7" w:rsidRPr="006E39F1">
        <w:rPr>
          <w:rFonts w:ascii="Times New Roman" w:hAnsi="Times New Roman" w:cs="Times New Roman"/>
        </w:rPr>
        <w:t>L. Chamberlain</w:t>
      </w:r>
      <w:r w:rsidRPr="006E39F1">
        <w:rPr>
          <w:rFonts w:ascii="Times New Roman" w:hAnsi="Times New Roman" w:cs="Times New Roman"/>
        </w:rPr>
        <w:t>)</w:t>
      </w:r>
    </w:p>
    <w:p w14:paraId="6573EBD0" w14:textId="3255451B" w:rsidR="00FF00C7" w:rsidRPr="006E39F1" w:rsidRDefault="00FF00C7" w:rsidP="00FF00C7">
      <w:pPr>
        <w:pStyle w:val="ListParagraph"/>
        <w:numPr>
          <w:ilvl w:val="1"/>
          <w:numId w:val="3"/>
        </w:numPr>
        <w:rPr>
          <w:rFonts w:ascii="Times New Roman" w:hAnsi="Times New Roman" w:cs="Times New Roman"/>
        </w:rPr>
      </w:pPr>
      <w:r w:rsidRPr="006E39F1">
        <w:rPr>
          <w:rFonts w:ascii="Times New Roman" w:hAnsi="Times New Roman" w:cs="Times New Roman"/>
        </w:rPr>
        <w:t xml:space="preserve">Chamberlain: The ASC Honors Committee has approved </w:t>
      </w:r>
      <w:r w:rsidR="00524116">
        <w:rPr>
          <w:rFonts w:ascii="Times New Roman" w:hAnsi="Times New Roman" w:cs="Times New Roman"/>
        </w:rPr>
        <w:t>3000-level</w:t>
      </w:r>
      <w:r w:rsidRPr="006E39F1">
        <w:rPr>
          <w:rFonts w:ascii="Times New Roman" w:hAnsi="Times New Roman" w:cs="Times New Roman"/>
        </w:rPr>
        <w:t xml:space="preserve"> Philosophy courses to count as honors‐quality. This is a significant exception, as we rarely grant such approval. The rationale is tied to the department’s unique course-numbering structure and the fact that they do not regularly offer 4000-level courses (which are typically considered honors-quality). This decision will support Philosophy honors students, particularly because several 3000-level Philosophy </w:t>
      </w:r>
      <w:r w:rsidR="00162FD0" w:rsidRPr="006E39F1">
        <w:rPr>
          <w:rFonts w:ascii="Times New Roman" w:hAnsi="Times New Roman" w:cs="Times New Roman"/>
        </w:rPr>
        <w:t>T</w:t>
      </w:r>
      <w:r w:rsidRPr="006E39F1">
        <w:rPr>
          <w:rFonts w:ascii="Times New Roman" w:hAnsi="Times New Roman" w:cs="Times New Roman"/>
        </w:rPr>
        <w:t>heme</w:t>
      </w:r>
      <w:r w:rsidR="009B3828" w:rsidRPr="006E39F1">
        <w:rPr>
          <w:rFonts w:ascii="Times New Roman" w:hAnsi="Times New Roman" w:cs="Times New Roman"/>
        </w:rPr>
        <w:t>s</w:t>
      </w:r>
      <w:r w:rsidRPr="006E39F1">
        <w:rPr>
          <w:rFonts w:ascii="Times New Roman" w:hAnsi="Times New Roman" w:cs="Times New Roman"/>
        </w:rPr>
        <w:t xml:space="preserve"> courses are expected to attract them. A similar longstanding exception already exists for History</w:t>
      </w:r>
      <w:r w:rsidR="00162FD0" w:rsidRPr="006E39F1">
        <w:rPr>
          <w:rFonts w:ascii="Times New Roman" w:hAnsi="Times New Roman" w:cs="Times New Roman"/>
        </w:rPr>
        <w:t xml:space="preserve"> courses. </w:t>
      </w:r>
    </w:p>
    <w:p w14:paraId="4BE63D52"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Informational Item: Update to the Film Studies BA and Minor (I. Nagar)</w:t>
      </w:r>
    </w:p>
    <w:p w14:paraId="33338F4D" w14:textId="2D70939C" w:rsidR="00162FD0" w:rsidRPr="006E39F1" w:rsidRDefault="009B3828" w:rsidP="00162FD0">
      <w:pPr>
        <w:pStyle w:val="ListParagraph"/>
        <w:numPr>
          <w:ilvl w:val="1"/>
          <w:numId w:val="3"/>
        </w:numPr>
        <w:rPr>
          <w:rFonts w:ascii="Times New Roman" w:hAnsi="Times New Roman" w:cs="Times New Roman"/>
        </w:rPr>
      </w:pPr>
      <w:r w:rsidRPr="006E39F1">
        <w:rPr>
          <w:rFonts w:ascii="Times New Roman" w:hAnsi="Times New Roman" w:cs="Times New Roman"/>
        </w:rPr>
        <w:t xml:space="preserve">Nagar: </w:t>
      </w:r>
      <w:r w:rsidR="00162FD0" w:rsidRPr="006E39F1">
        <w:rPr>
          <w:rFonts w:ascii="Times New Roman" w:hAnsi="Times New Roman" w:cs="Times New Roman"/>
        </w:rPr>
        <w:t>The Department of Theatre, Film, and Media Arts requests updates to the Film Studies BA and minor course lists. The revision removes courses that are no longer offered or have been withdrawn and adds approved Film Studies courses taught by core faculty. These adjustments align advising guides with actual course availability and reflect results from a recent interdisciplinary course audit. Further curricular review is underway, but the department seeks approval for this initial update to ensure accurate and current course options for students.</w:t>
      </w:r>
    </w:p>
    <w:p w14:paraId="5ACB5060"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Informational Item: Update to the Computer Science Minor (I. Nagar)</w:t>
      </w:r>
    </w:p>
    <w:p w14:paraId="71E325D4" w14:textId="40970DD0" w:rsidR="00162FD0" w:rsidRPr="006E39F1" w:rsidRDefault="009B3828" w:rsidP="00162FD0">
      <w:pPr>
        <w:pStyle w:val="ListParagraph"/>
        <w:numPr>
          <w:ilvl w:val="1"/>
          <w:numId w:val="3"/>
        </w:numPr>
        <w:rPr>
          <w:rFonts w:ascii="Times New Roman" w:hAnsi="Times New Roman" w:cs="Times New Roman"/>
        </w:rPr>
      </w:pPr>
      <w:r w:rsidRPr="006E39F1">
        <w:rPr>
          <w:rFonts w:ascii="Times New Roman" w:hAnsi="Times New Roman" w:cs="Times New Roman"/>
        </w:rPr>
        <w:t xml:space="preserve">Nagar: </w:t>
      </w:r>
      <w:r w:rsidR="00162FD0" w:rsidRPr="006E39F1">
        <w:rPr>
          <w:rFonts w:ascii="Times New Roman" w:hAnsi="Times New Roman" w:cs="Times New Roman"/>
        </w:rPr>
        <w:t>The Department of Computer Science and Engineering requests one change to the CS Minor that will be effective Spring 2026. They propose to add CSE 2124 (Python second-level programming) and its prerequisite CSE 1224 as an additional pathway for fulfilling the minor’s required second programming course. Currently, CS minors can complete the second programming requirement in C++ (CSE 2122) or Java (CSE 2123). With the long-standing introductory Python course (CSE 1224) and the new follow-up course (CSE 2124), the department wishes to offer Python as a third option, reflecting its widespread applicability across disciplines. The CSE faculty voted unanimously in favor of the change.</w:t>
      </w:r>
    </w:p>
    <w:p w14:paraId="44D747B2"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Informational Item: Update to the Social and Environmental Geography BA (I. Nagar)</w:t>
      </w:r>
    </w:p>
    <w:p w14:paraId="6D62030E" w14:textId="1BEF4E60" w:rsidR="006E39F1" w:rsidRPr="006E39F1" w:rsidRDefault="009B3828" w:rsidP="006E39F1">
      <w:pPr>
        <w:pStyle w:val="ListParagraph"/>
        <w:numPr>
          <w:ilvl w:val="1"/>
          <w:numId w:val="3"/>
        </w:numPr>
        <w:rPr>
          <w:rFonts w:ascii="Times New Roman" w:hAnsi="Times New Roman" w:cs="Times New Roman"/>
        </w:rPr>
      </w:pPr>
      <w:r w:rsidRPr="006E39F1">
        <w:rPr>
          <w:rFonts w:ascii="Times New Roman" w:hAnsi="Times New Roman" w:cs="Times New Roman"/>
        </w:rPr>
        <w:t xml:space="preserve">Nagar: </w:t>
      </w:r>
      <w:r w:rsidR="006E39F1" w:rsidRPr="006E39F1">
        <w:rPr>
          <w:rFonts w:ascii="Times New Roman" w:hAnsi="Times New Roman" w:cs="Times New Roman"/>
        </w:rPr>
        <w:t>The Department of Geography piloted a three-year portfolio-based assessment (GEOG 5193) for the Social and Environmental Geography major beginning in Spring 2022. Students completed an oral reflection drawing on coursework, working with a faculty mentor and presenting to a faculty panel using the program’s Expected Learning Outcomes as the evaluative framework. After three years of implementation, the department concluded that the portfolio model, while beneficial for student reflection and cohort building, does not provide usable program-level assessment data. The existing ELO structure has proven too abstract for consistent evaluation.</w:t>
      </w:r>
    </w:p>
    <w:p w14:paraId="26684996" w14:textId="77777777" w:rsidR="006E39F1" w:rsidRPr="006E39F1" w:rsidRDefault="006E39F1" w:rsidP="006E39F1">
      <w:pPr>
        <w:pStyle w:val="ListParagraph"/>
        <w:ind w:left="1800"/>
        <w:rPr>
          <w:rFonts w:ascii="Times New Roman" w:hAnsi="Times New Roman" w:cs="Times New Roman"/>
        </w:rPr>
      </w:pPr>
    </w:p>
    <w:p w14:paraId="71608335" w14:textId="597746E9" w:rsidR="009B3828" w:rsidRPr="006E39F1" w:rsidRDefault="006E39F1" w:rsidP="006E39F1">
      <w:pPr>
        <w:pStyle w:val="ListParagraph"/>
        <w:ind w:left="1800"/>
        <w:rPr>
          <w:rFonts w:ascii="Times New Roman" w:hAnsi="Times New Roman" w:cs="Times New Roman"/>
        </w:rPr>
      </w:pPr>
      <w:r w:rsidRPr="006E39F1">
        <w:rPr>
          <w:rFonts w:ascii="Times New Roman" w:hAnsi="Times New Roman" w:cs="Times New Roman"/>
        </w:rPr>
        <w:t>The department plans to replace the current ELOs with a simplified set of 3–5 SEG-specific, measurable outcomes and shift toward an assessment approach grounded in required coursework (likely GEOG 4100 and GEOG 4101). Geography requests approval to remove GEOG 5193 from the SEG curriculum while the new assessment framework and revised ELOs are developed.</w:t>
      </w:r>
    </w:p>
    <w:p w14:paraId="11E642D2"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Informational Item: Update to the Animation Minor (I. Nagar)</w:t>
      </w:r>
    </w:p>
    <w:p w14:paraId="18D26AA2" w14:textId="58C3255A" w:rsidR="00162FD0" w:rsidRPr="006E39F1" w:rsidRDefault="009B3828" w:rsidP="00162FD0">
      <w:pPr>
        <w:pStyle w:val="ListParagraph"/>
        <w:numPr>
          <w:ilvl w:val="1"/>
          <w:numId w:val="3"/>
        </w:numPr>
        <w:rPr>
          <w:rFonts w:ascii="Times New Roman" w:hAnsi="Times New Roman" w:cs="Times New Roman"/>
        </w:rPr>
      </w:pPr>
      <w:r w:rsidRPr="006E39F1">
        <w:rPr>
          <w:rFonts w:ascii="Times New Roman" w:hAnsi="Times New Roman" w:cs="Times New Roman"/>
        </w:rPr>
        <w:t xml:space="preserve">Nagar: </w:t>
      </w:r>
      <w:r w:rsidR="00162FD0" w:rsidRPr="006E39F1">
        <w:rPr>
          <w:rFonts w:ascii="Times New Roman" w:hAnsi="Times New Roman" w:cs="Times New Roman"/>
        </w:rPr>
        <w:t>The Department of Design and ACCAD propose co-listing Interactive Animation (5104) as a permanent course that serves as an elective for the XMD major, MIP major (Animation mode), and the Animation Minor. The Animation Minor plan is to be updated to replace ACCAD 5194 with ACCAD/DESIGN 5104. This formalizes a previously experimental course and aligns curricula with active offerings in animation and interactive media.</w:t>
      </w:r>
    </w:p>
    <w:p w14:paraId="38D03D1F" w14:textId="5126BB91" w:rsidR="009A007B" w:rsidRPr="006E39F1" w:rsidRDefault="00AC536D" w:rsidP="009A007B">
      <w:pPr>
        <w:pStyle w:val="ListParagraph"/>
        <w:numPr>
          <w:ilvl w:val="0"/>
          <w:numId w:val="3"/>
        </w:numPr>
        <w:rPr>
          <w:rFonts w:ascii="Times New Roman" w:hAnsi="Times New Roman" w:cs="Times New Roman"/>
        </w:rPr>
      </w:pPr>
      <w:r w:rsidRPr="006E39F1">
        <w:rPr>
          <w:rFonts w:ascii="Times New Roman" w:hAnsi="Times New Roman" w:cs="Times New Roman"/>
        </w:rPr>
        <w:t xml:space="preserve">Discussion on </w:t>
      </w:r>
      <w:r w:rsidR="009A007B" w:rsidRPr="006E39F1">
        <w:rPr>
          <w:rFonts w:ascii="Times New Roman" w:hAnsi="Times New Roman" w:cs="Times New Roman"/>
        </w:rPr>
        <w:t>AI Fluency</w:t>
      </w:r>
    </w:p>
    <w:p w14:paraId="70C386B9" w14:textId="075751DF" w:rsidR="00AC536D" w:rsidRPr="006E39F1" w:rsidRDefault="00AC536D" w:rsidP="00AC536D">
      <w:pPr>
        <w:pStyle w:val="ListParagraph"/>
        <w:numPr>
          <w:ilvl w:val="1"/>
          <w:numId w:val="3"/>
        </w:numPr>
        <w:rPr>
          <w:rFonts w:ascii="Times New Roman" w:hAnsi="Times New Roman" w:cs="Times New Roman"/>
        </w:rPr>
      </w:pPr>
      <w:r w:rsidRPr="006E39F1">
        <w:rPr>
          <w:rFonts w:ascii="Times New Roman" w:hAnsi="Times New Roman" w:cs="Times New Roman"/>
        </w:rPr>
        <w:t>Committee member: Do we know how AI fluency modules will be implemented and who is developing them?</w:t>
      </w:r>
    </w:p>
    <w:p w14:paraId="22C73A58" w14:textId="3F3B53B0" w:rsidR="00AC536D" w:rsidRPr="006E39F1" w:rsidRDefault="00AC536D" w:rsidP="00AC536D">
      <w:pPr>
        <w:pStyle w:val="ListParagraph"/>
        <w:numPr>
          <w:ilvl w:val="2"/>
          <w:numId w:val="3"/>
        </w:numPr>
        <w:rPr>
          <w:rFonts w:ascii="Times New Roman" w:hAnsi="Times New Roman" w:cs="Times New Roman"/>
        </w:rPr>
      </w:pPr>
      <w:r w:rsidRPr="006E39F1">
        <w:rPr>
          <w:rFonts w:ascii="Times New Roman" w:hAnsi="Times New Roman" w:cs="Times New Roman"/>
        </w:rPr>
        <w:t xml:space="preserve">Martin: </w:t>
      </w:r>
      <w:r w:rsidR="00C62A3B" w:rsidRPr="006E39F1">
        <w:rPr>
          <w:rFonts w:ascii="Times New Roman" w:hAnsi="Times New Roman" w:cs="Times New Roman"/>
        </w:rPr>
        <w:t>AI Fluency will be required for all students graduating in 2030 and beyond. Shere</w:t>
      </w:r>
      <w:r w:rsidR="00E8020A" w:rsidRPr="006E39F1">
        <w:rPr>
          <w:rFonts w:ascii="Times New Roman" w:hAnsi="Times New Roman" w:cs="Times New Roman"/>
        </w:rPr>
        <w:t xml:space="preserve">en Agrawal who is the executive director of the Center for Software Innovation </w:t>
      </w:r>
      <w:r w:rsidR="00C62A3B" w:rsidRPr="006E39F1">
        <w:rPr>
          <w:rFonts w:ascii="Times New Roman" w:hAnsi="Times New Roman" w:cs="Times New Roman"/>
        </w:rPr>
        <w:t xml:space="preserve">and Norman Jones are leading the initiative. Divisional deans collected implementation plans from all units. Units may meet the requirement </w:t>
      </w:r>
      <w:r w:rsidR="00594DFE" w:rsidRPr="006E39F1">
        <w:rPr>
          <w:rFonts w:ascii="Times New Roman" w:hAnsi="Times New Roman" w:cs="Times New Roman"/>
        </w:rPr>
        <w:t xml:space="preserve">by developing a standalone course on AI, embedding AI into existing courses, </w:t>
      </w:r>
      <w:r w:rsidR="00DC4CB0" w:rsidRPr="006E39F1">
        <w:rPr>
          <w:rFonts w:ascii="Times New Roman" w:hAnsi="Times New Roman" w:cs="Times New Roman"/>
        </w:rPr>
        <w:t xml:space="preserve">requiring an approved AI certificate, </w:t>
      </w:r>
      <w:r w:rsidR="00714FAA" w:rsidRPr="006E39F1">
        <w:rPr>
          <w:rFonts w:ascii="Times New Roman" w:hAnsi="Times New Roman" w:cs="Times New Roman"/>
        </w:rPr>
        <w:t xml:space="preserve">or </w:t>
      </w:r>
      <w:r w:rsidR="006A52CD" w:rsidRPr="006E39F1">
        <w:rPr>
          <w:rFonts w:ascii="Times New Roman" w:hAnsi="Times New Roman" w:cs="Times New Roman"/>
        </w:rPr>
        <w:t>developing</w:t>
      </w:r>
      <w:r w:rsidR="00714FAA" w:rsidRPr="006E39F1">
        <w:rPr>
          <w:rFonts w:ascii="Times New Roman" w:hAnsi="Times New Roman" w:cs="Times New Roman"/>
        </w:rPr>
        <w:t xml:space="preserve"> one-credit AI fluency modules.</w:t>
      </w:r>
      <w:r w:rsidR="006A52CD" w:rsidRPr="006E39F1">
        <w:rPr>
          <w:rFonts w:ascii="Times New Roman" w:hAnsi="Times New Roman" w:cs="Times New Roman"/>
        </w:rPr>
        <w:t xml:space="preserve"> </w:t>
      </w:r>
      <w:r w:rsidR="00E7638A" w:rsidRPr="006E39F1">
        <w:rPr>
          <w:rFonts w:ascii="Times New Roman" w:hAnsi="Times New Roman" w:cs="Times New Roman"/>
        </w:rPr>
        <w:t xml:space="preserve">As with the Embedded Literacies, </w:t>
      </w:r>
      <w:r w:rsidR="00D46279" w:rsidRPr="006E39F1">
        <w:rPr>
          <w:rFonts w:ascii="Times New Roman" w:hAnsi="Times New Roman" w:cs="Times New Roman"/>
        </w:rPr>
        <w:t xml:space="preserve">these will likely be approved with a rubber-stamp approach. If a </w:t>
      </w:r>
      <w:r w:rsidR="009B3828" w:rsidRPr="006E39F1">
        <w:rPr>
          <w:rFonts w:ascii="Times New Roman" w:hAnsi="Times New Roman" w:cs="Times New Roman"/>
        </w:rPr>
        <w:t>unit</w:t>
      </w:r>
      <w:r w:rsidR="00D46279" w:rsidRPr="006E39F1">
        <w:rPr>
          <w:rFonts w:ascii="Times New Roman" w:hAnsi="Times New Roman" w:cs="Times New Roman"/>
        </w:rPr>
        <w:t xml:space="preserve"> wants to change its AI fluency plan, we will follow the Embedded Literacies model: units inform </w:t>
      </w:r>
      <w:proofErr w:type="gramStart"/>
      <w:r w:rsidR="00D46279" w:rsidRPr="006E39F1">
        <w:rPr>
          <w:rFonts w:ascii="Times New Roman" w:hAnsi="Times New Roman" w:cs="Times New Roman"/>
        </w:rPr>
        <w:t>us</w:t>
      </w:r>
      <w:proofErr w:type="gramEnd"/>
      <w:r w:rsidR="00D46279" w:rsidRPr="006E39F1">
        <w:rPr>
          <w:rFonts w:ascii="Times New Roman" w:hAnsi="Times New Roman" w:cs="Times New Roman"/>
        </w:rPr>
        <w:t xml:space="preserve"> and we notify CAA. </w:t>
      </w:r>
    </w:p>
    <w:p w14:paraId="2DC4EDD3" w14:textId="22C712A2" w:rsidR="006A52CD" w:rsidRPr="006E39F1" w:rsidRDefault="006A52CD" w:rsidP="006A52CD">
      <w:pPr>
        <w:pStyle w:val="ListParagraph"/>
        <w:numPr>
          <w:ilvl w:val="1"/>
          <w:numId w:val="3"/>
        </w:numPr>
        <w:rPr>
          <w:rFonts w:ascii="Times New Roman" w:hAnsi="Times New Roman" w:cs="Times New Roman"/>
        </w:rPr>
      </w:pPr>
      <w:r w:rsidRPr="006E39F1">
        <w:rPr>
          <w:rFonts w:ascii="Times New Roman" w:hAnsi="Times New Roman" w:cs="Times New Roman"/>
        </w:rPr>
        <w:t>Committee member: Can departments embed these one-credit modules into existing courses?</w:t>
      </w:r>
    </w:p>
    <w:p w14:paraId="437B5819" w14:textId="1BB1B69C" w:rsidR="00E27C4A" w:rsidRPr="006E39F1" w:rsidRDefault="006A52CD" w:rsidP="008B5A16">
      <w:pPr>
        <w:pStyle w:val="ListParagraph"/>
        <w:numPr>
          <w:ilvl w:val="2"/>
          <w:numId w:val="3"/>
        </w:numPr>
        <w:rPr>
          <w:rFonts w:ascii="Times New Roman" w:hAnsi="Times New Roman" w:cs="Times New Roman"/>
        </w:rPr>
      </w:pPr>
      <w:r w:rsidRPr="006E39F1">
        <w:rPr>
          <w:rFonts w:ascii="Times New Roman" w:hAnsi="Times New Roman" w:cs="Times New Roman"/>
        </w:rPr>
        <w:t xml:space="preserve">Martin: That question is still being clarified. Embedding a one-credit module into </w:t>
      </w:r>
      <w:r w:rsidR="00626612" w:rsidRPr="006E39F1">
        <w:rPr>
          <w:rFonts w:ascii="Times New Roman" w:hAnsi="Times New Roman" w:cs="Times New Roman"/>
        </w:rPr>
        <w:t>a three-credit course raises workload and content concerns.</w:t>
      </w:r>
      <w:r w:rsidR="00C050A3">
        <w:rPr>
          <w:rFonts w:ascii="Times New Roman" w:hAnsi="Times New Roman" w:cs="Times New Roman"/>
        </w:rPr>
        <w:t xml:space="preserve"> They would likely be separate. </w:t>
      </w:r>
      <w:r w:rsidR="00626612" w:rsidRPr="006E39F1">
        <w:rPr>
          <w:rFonts w:ascii="Times New Roman" w:hAnsi="Times New Roman" w:cs="Times New Roman"/>
        </w:rPr>
        <w:t xml:space="preserve"> </w:t>
      </w:r>
    </w:p>
    <w:p w14:paraId="324B23F1" w14:textId="77777777" w:rsidR="008B5A16" w:rsidRPr="006E39F1" w:rsidRDefault="008B5A16" w:rsidP="008B5A16">
      <w:pPr>
        <w:pStyle w:val="ListParagraph"/>
        <w:numPr>
          <w:ilvl w:val="1"/>
          <w:numId w:val="3"/>
        </w:numPr>
        <w:rPr>
          <w:rFonts w:ascii="Times New Roman" w:hAnsi="Times New Roman" w:cs="Times New Roman"/>
        </w:rPr>
      </w:pPr>
      <w:r w:rsidRPr="006E39F1">
        <w:rPr>
          <w:rFonts w:ascii="Times New Roman" w:hAnsi="Times New Roman" w:cs="Times New Roman"/>
        </w:rPr>
        <w:t>Committee member: How will assessment work for this requirement?</w:t>
      </w:r>
    </w:p>
    <w:p w14:paraId="21B83161" w14:textId="33F7C914" w:rsidR="008B5A16" w:rsidRPr="006E39F1" w:rsidRDefault="008B5A16" w:rsidP="008B5A16">
      <w:pPr>
        <w:pStyle w:val="ListParagraph"/>
        <w:numPr>
          <w:ilvl w:val="2"/>
          <w:numId w:val="3"/>
        </w:numPr>
        <w:rPr>
          <w:rFonts w:ascii="Times New Roman" w:hAnsi="Times New Roman" w:cs="Times New Roman"/>
        </w:rPr>
      </w:pPr>
      <w:r w:rsidRPr="006E39F1">
        <w:rPr>
          <w:rFonts w:ascii="Times New Roman" w:hAnsi="Times New Roman" w:cs="Times New Roman"/>
        </w:rPr>
        <w:t xml:space="preserve">Martin: Assessment will likely occur through the </w:t>
      </w:r>
      <w:r w:rsidR="00C050A3">
        <w:rPr>
          <w:rFonts w:ascii="Times New Roman" w:hAnsi="Times New Roman" w:cs="Times New Roman"/>
        </w:rPr>
        <w:t>g</w:t>
      </w:r>
      <w:r w:rsidRPr="006E39F1">
        <w:rPr>
          <w:rFonts w:ascii="Times New Roman" w:hAnsi="Times New Roman" w:cs="Times New Roman"/>
        </w:rPr>
        <w:t xml:space="preserve">raduating </w:t>
      </w:r>
      <w:r w:rsidR="00C050A3">
        <w:rPr>
          <w:rFonts w:ascii="Times New Roman" w:hAnsi="Times New Roman" w:cs="Times New Roman"/>
        </w:rPr>
        <w:t>s</w:t>
      </w:r>
      <w:r w:rsidRPr="006E39F1">
        <w:rPr>
          <w:rFonts w:ascii="Times New Roman" w:hAnsi="Times New Roman" w:cs="Times New Roman"/>
        </w:rPr>
        <w:t xml:space="preserve">tudent </w:t>
      </w:r>
      <w:r w:rsidR="00C050A3">
        <w:rPr>
          <w:rFonts w:ascii="Times New Roman" w:hAnsi="Times New Roman" w:cs="Times New Roman"/>
        </w:rPr>
        <w:t>su</w:t>
      </w:r>
      <w:r w:rsidRPr="006E39F1">
        <w:rPr>
          <w:rFonts w:ascii="Times New Roman" w:hAnsi="Times New Roman" w:cs="Times New Roman"/>
        </w:rPr>
        <w:t xml:space="preserve">rvey since the requirement will not appear in the degree audit. Units embedding AI into a course should clearly signal this to </w:t>
      </w:r>
      <w:proofErr w:type="gramStart"/>
      <w:r w:rsidRPr="006E39F1">
        <w:rPr>
          <w:rFonts w:ascii="Times New Roman" w:hAnsi="Times New Roman" w:cs="Times New Roman"/>
        </w:rPr>
        <w:t>students</w:t>
      </w:r>
      <w:proofErr w:type="gramEnd"/>
      <w:r w:rsidRPr="006E39F1">
        <w:rPr>
          <w:rFonts w:ascii="Times New Roman" w:hAnsi="Times New Roman" w:cs="Times New Roman"/>
        </w:rPr>
        <w:t xml:space="preserve"> so they recognize it.</w:t>
      </w:r>
    </w:p>
    <w:p w14:paraId="5CB763FB" w14:textId="26CD45B9" w:rsidR="00626612" w:rsidRPr="006E39F1" w:rsidRDefault="00626612" w:rsidP="00626612">
      <w:pPr>
        <w:pStyle w:val="ListParagraph"/>
        <w:numPr>
          <w:ilvl w:val="1"/>
          <w:numId w:val="3"/>
        </w:numPr>
        <w:rPr>
          <w:rFonts w:ascii="Times New Roman" w:hAnsi="Times New Roman" w:cs="Times New Roman"/>
        </w:rPr>
      </w:pPr>
      <w:r w:rsidRPr="006E39F1">
        <w:rPr>
          <w:rFonts w:ascii="Times New Roman" w:hAnsi="Times New Roman" w:cs="Times New Roman"/>
        </w:rPr>
        <w:t xml:space="preserve">Committee member: Is there guidance on defining “AI use” across disciplines? For example, when does machine learning or </w:t>
      </w:r>
      <w:r w:rsidR="008B5A16" w:rsidRPr="006E39F1">
        <w:rPr>
          <w:rFonts w:ascii="Times New Roman" w:hAnsi="Times New Roman" w:cs="Times New Roman"/>
        </w:rPr>
        <w:t>linear regression</w:t>
      </w:r>
      <w:r w:rsidRPr="006E39F1">
        <w:rPr>
          <w:rFonts w:ascii="Times New Roman" w:hAnsi="Times New Roman" w:cs="Times New Roman"/>
        </w:rPr>
        <w:t xml:space="preserve"> </w:t>
      </w:r>
      <w:r w:rsidR="008B5A16" w:rsidRPr="006E39F1">
        <w:rPr>
          <w:rFonts w:ascii="Times New Roman" w:hAnsi="Times New Roman" w:cs="Times New Roman"/>
        </w:rPr>
        <w:t>become</w:t>
      </w:r>
      <w:r w:rsidRPr="006E39F1">
        <w:rPr>
          <w:rFonts w:ascii="Times New Roman" w:hAnsi="Times New Roman" w:cs="Times New Roman"/>
        </w:rPr>
        <w:t xml:space="preserve"> AI?</w:t>
      </w:r>
      <w:r w:rsidR="008B5A16" w:rsidRPr="006E39F1">
        <w:rPr>
          <w:rFonts w:ascii="Times New Roman" w:hAnsi="Times New Roman" w:cs="Times New Roman"/>
        </w:rPr>
        <w:t xml:space="preserve"> In many NMS fields, </w:t>
      </w:r>
      <w:r w:rsidR="001C0BB6" w:rsidRPr="006E39F1">
        <w:rPr>
          <w:rFonts w:ascii="Times New Roman" w:hAnsi="Times New Roman" w:cs="Times New Roman"/>
        </w:rPr>
        <w:t xml:space="preserve">more precise terminology is used instead of AI. </w:t>
      </w:r>
    </w:p>
    <w:p w14:paraId="60C5AEFA" w14:textId="6601C800" w:rsidR="00386DD3" w:rsidRPr="006E39F1" w:rsidRDefault="00386DD3" w:rsidP="00386DD3">
      <w:pPr>
        <w:pStyle w:val="ListParagraph"/>
        <w:numPr>
          <w:ilvl w:val="2"/>
          <w:numId w:val="3"/>
        </w:numPr>
        <w:rPr>
          <w:rFonts w:ascii="Times New Roman" w:hAnsi="Times New Roman" w:cs="Times New Roman"/>
        </w:rPr>
      </w:pPr>
      <w:r w:rsidRPr="006E39F1">
        <w:rPr>
          <w:rFonts w:ascii="Times New Roman" w:hAnsi="Times New Roman" w:cs="Times New Roman"/>
        </w:rPr>
        <w:t xml:space="preserve">Martin: Learning outcomes include explaining foundational concepts, </w:t>
      </w:r>
      <w:r w:rsidR="001700A2" w:rsidRPr="006E39F1">
        <w:rPr>
          <w:rFonts w:ascii="Times New Roman" w:hAnsi="Times New Roman" w:cs="Times New Roman"/>
        </w:rPr>
        <w:t>exploring potential benefits</w:t>
      </w:r>
      <w:r w:rsidRPr="006E39F1">
        <w:rPr>
          <w:rFonts w:ascii="Times New Roman" w:hAnsi="Times New Roman" w:cs="Times New Roman"/>
        </w:rPr>
        <w:t>,</w:t>
      </w:r>
      <w:r w:rsidR="001700A2" w:rsidRPr="006E39F1">
        <w:rPr>
          <w:rFonts w:ascii="Times New Roman" w:hAnsi="Times New Roman" w:cs="Times New Roman"/>
        </w:rPr>
        <w:t xml:space="preserve"> evaluating inputs/outputs of AI systems, </w:t>
      </w:r>
      <w:r w:rsidRPr="006E39F1">
        <w:rPr>
          <w:rFonts w:ascii="Times New Roman" w:hAnsi="Times New Roman" w:cs="Times New Roman"/>
        </w:rPr>
        <w:t xml:space="preserve"> applying AI tools</w:t>
      </w:r>
      <w:r w:rsidR="001700A2" w:rsidRPr="006E39F1">
        <w:rPr>
          <w:rFonts w:ascii="Times New Roman" w:hAnsi="Times New Roman" w:cs="Times New Roman"/>
        </w:rPr>
        <w:t xml:space="preserve"> to field-specific goals</w:t>
      </w:r>
      <w:r w:rsidRPr="006E39F1">
        <w:rPr>
          <w:rFonts w:ascii="Times New Roman" w:hAnsi="Times New Roman" w:cs="Times New Roman"/>
        </w:rPr>
        <w:t xml:space="preserve">, </w:t>
      </w:r>
      <w:r w:rsidR="001700A2" w:rsidRPr="006E39F1">
        <w:rPr>
          <w:rFonts w:ascii="Times New Roman" w:hAnsi="Times New Roman" w:cs="Times New Roman"/>
        </w:rPr>
        <w:t>designing applications of AI</w:t>
      </w:r>
      <w:r w:rsidR="007B55FE" w:rsidRPr="006E39F1">
        <w:rPr>
          <w:rFonts w:ascii="Times New Roman" w:hAnsi="Times New Roman" w:cs="Times New Roman"/>
        </w:rPr>
        <w:t xml:space="preserve">, </w:t>
      </w:r>
      <w:r w:rsidRPr="006E39F1">
        <w:rPr>
          <w:rFonts w:ascii="Times New Roman" w:hAnsi="Times New Roman" w:cs="Times New Roman"/>
        </w:rPr>
        <w:t>and exploring ethical and societal implications. Units can determine discipline-specific interpretations. Units do not need to address all six outcomes in a single course.</w:t>
      </w:r>
    </w:p>
    <w:p w14:paraId="17A5287B" w14:textId="57E6746C" w:rsidR="00A9602D" w:rsidRPr="006E39F1" w:rsidRDefault="00A9602D" w:rsidP="00A9602D">
      <w:pPr>
        <w:pStyle w:val="ListParagraph"/>
        <w:numPr>
          <w:ilvl w:val="1"/>
          <w:numId w:val="3"/>
        </w:numPr>
        <w:rPr>
          <w:rFonts w:ascii="Times New Roman" w:hAnsi="Times New Roman" w:cs="Times New Roman"/>
        </w:rPr>
      </w:pPr>
      <w:r w:rsidRPr="006E39F1">
        <w:rPr>
          <w:rFonts w:ascii="Times New Roman" w:hAnsi="Times New Roman" w:cs="Times New Roman"/>
        </w:rPr>
        <w:t xml:space="preserve">Committee member: </w:t>
      </w:r>
      <w:r w:rsidR="003C4E5F" w:rsidRPr="006E39F1">
        <w:rPr>
          <w:rFonts w:ascii="Times New Roman" w:hAnsi="Times New Roman" w:cs="Times New Roman"/>
        </w:rPr>
        <w:t xml:space="preserve">Based on </w:t>
      </w:r>
      <w:proofErr w:type="gramStart"/>
      <w:r w:rsidR="003C4E5F" w:rsidRPr="006E39F1">
        <w:rPr>
          <w:rFonts w:ascii="Times New Roman" w:hAnsi="Times New Roman" w:cs="Times New Roman"/>
        </w:rPr>
        <w:t>all of</w:t>
      </w:r>
      <w:proofErr w:type="gramEnd"/>
      <w:r w:rsidR="003C4E5F" w:rsidRPr="006E39F1">
        <w:rPr>
          <w:rFonts w:ascii="Times New Roman" w:hAnsi="Times New Roman" w:cs="Times New Roman"/>
        </w:rPr>
        <w:t xml:space="preserve"> those outcomes, it seems to be preferred that units </w:t>
      </w:r>
      <w:r w:rsidR="00C473D2" w:rsidRPr="006E39F1">
        <w:rPr>
          <w:rFonts w:ascii="Times New Roman" w:hAnsi="Times New Roman" w:cs="Times New Roman"/>
        </w:rPr>
        <w:t>have a specific AI course rather than</w:t>
      </w:r>
      <w:r w:rsidR="00524116">
        <w:rPr>
          <w:rFonts w:ascii="Times New Roman" w:hAnsi="Times New Roman" w:cs="Times New Roman"/>
        </w:rPr>
        <w:t xml:space="preserve"> the</w:t>
      </w:r>
      <w:r w:rsidR="00C473D2" w:rsidRPr="006E39F1">
        <w:rPr>
          <w:rFonts w:ascii="Times New Roman" w:hAnsi="Times New Roman" w:cs="Times New Roman"/>
        </w:rPr>
        <w:t xml:space="preserve"> embedded approach. </w:t>
      </w:r>
      <w:r w:rsidRPr="006E39F1">
        <w:rPr>
          <w:rFonts w:ascii="Times New Roman" w:hAnsi="Times New Roman" w:cs="Times New Roman"/>
        </w:rPr>
        <w:t>Will departments need an AI-specific course listed by title?</w:t>
      </w:r>
    </w:p>
    <w:p w14:paraId="5AC8ECE3" w14:textId="0B52539A" w:rsidR="00A9602D" w:rsidRPr="006E39F1" w:rsidRDefault="002A7D4E" w:rsidP="00A9602D">
      <w:pPr>
        <w:pStyle w:val="ListParagraph"/>
        <w:numPr>
          <w:ilvl w:val="2"/>
          <w:numId w:val="3"/>
        </w:numPr>
        <w:rPr>
          <w:rFonts w:ascii="Times New Roman" w:hAnsi="Times New Roman" w:cs="Times New Roman"/>
        </w:rPr>
      </w:pPr>
      <w:r w:rsidRPr="006E39F1">
        <w:rPr>
          <w:rFonts w:ascii="Times New Roman" w:hAnsi="Times New Roman" w:cs="Times New Roman"/>
        </w:rPr>
        <w:t xml:space="preserve">Martin: Not necessarily. Many </w:t>
      </w:r>
      <w:r w:rsidR="00C473D2" w:rsidRPr="006E39F1">
        <w:rPr>
          <w:rFonts w:ascii="Times New Roman" w:hAnsi="Times New Roman" w:cs="Times New Roman"/>
        </w:rPr>
        <w:t>Social and Behavioral Sciences</w:t>
      </w:r>
      <w:r w:rsidRPr="006E39F1">
        <w:rPr>
          <w:rFonts w:ascii="Times New Roman" w:hAnsi="Times New Roman" w:cs="Times New Roman"/>
        </w:rPr>
        <w:t xml:space="preserve"> units are embedding AI in existing courses without changing titles. </w:t>
      </w:r>
      <w:r w:rsidR="00C473D2" w:rsidRPr="006E39F1">
        <w:rPr>
          <w:rFonts w:ascii="Times New Roman" w:hAnsi="Times New Roman" w:cs="Times New Roman"/>
        </w:rPr>
        <w:t xml:space="preserve">The Department of Near Eastern and South Asian </w:t>
      </w:r>
      <w:r w:rsidR="0096467B" w:rsidRPr="006E39F1">
        <w:rPr>
          <w:rFonts w:ascii="Times New Roman" w:hAnsi="Times New Roman" w:cs="Times New Roman"/>
        </w:rPr>
        <w:t xml:space="preserve">Languages and Cultures embeds within one </w:t>
      </w:r>
      <w:r w:rsidR="00C050A3" w:rsidRPr="006E39F1">
        <w:rPr>
          <w:rFonts w:ascii="Times New Roman" w:hAnsi="Times New Roman" w:cs="Times New Roman"/>
        </w:rPr>
        <w:t>course,</w:t>
      </w:r>
      <w:r w:rsidR="0096467B" w:rsidRPr="006E39F1">
        <w:rPr>
          <w:rFonts w:ascii="Times New Roman" w:hAnsi="Times New Roman" w:cs="Times New Roman"/>
        </w:rPr>
        <w:t xml:space="preserve"> but the title di</w:t>
      </w:r>
      <w:r w:rsidR="00C050A3">
        <w:rPr>
          <w:rFonts w:ascii="Times New Roman" w:hAnsi="Times New Roman" w:cs="Times New Roman"/>
        </w:rPr>
        <w:t>d</w:t>
      </w:r>
      <w:r w:rsidR="0096467B" w:rsidRPr="006E39F1">
        <w:rPr>
          <w:rFonts w:ascii="Times New Roman" w:hAnsi="Times New Roman" w:cs="Times New Roman"/>
        </w:rPr>
        <w:t xml:space="preserve"> not change. Units can define their own approach. </w:t>
      </w:r>
    </w:p>
    <w:p w14:paraId="75908F7B" w14:textId="23352A33" w:rsidR="00DE7C8E" w:rsidRPr="006E39F1" w:rsidRDefault="00DE7C8E" w:rsidP="00DE7C8E">
      <w:pPr>
        <w:pStyle w:val="ListParagraph"/>
        <w:numPr>
          <w:ilvl w:val="1"/>
          <w:numId w:val="3"/>
        </w:numPr>
        <w:rPr>
          <w:rFonts w:ascii="Times New Roman" w:hAnsi="Times New Roman" w:cs="Times New Roman"/>
        </w:rPr>
      </w:pPr>
      <w:r w:rsidRPr="006E39F1">
        <w:rPr>
          <w:rFonts w:ascii="Times New Roman" w:hAnsi="Times New Roman" w:cs="Times New Roman"/>
        </w:rPr>
        <w:t xml:space="preserve">Martin: Norman Jones is working on updating guidance </w:t>
      </w:r>
      <w:r w:rsidR="00AB53CB" w:rsidRPr="006E39F1">
        <w:rPr>
          <w:rFonts w:ascii="Times New Roman" w:hAnsi="Times New Roman" w:cs="Times New Roman"/>
        </w:rPr>
        <w:t xml:space="preserve">for students on AI use in the classroom. Faculty can still prohibit AI use in their courses, but they must discuss expectations with students in addition to listing them in the syllabus. </w:t>
      </w:r>
    </w:p>
    <w:p w14:paraId="536FDAB5" w14:textId="2216AF39" w:rsidR="00CC20C5" w:rsidRPr="006E39F1" w:rsidRDefault="00AB53CB" w:rsidP="009B3828">
      <w:pPr>
        <w:pStyle w:val="ListParagraph"/>
        <w:numPr>
          <w:ilvl w:val="2"/>
          <w:numId w:val="3"/>
        </w:numPr>
        <w:rPr>
          <w:rFonts w:ascii="Times New Roman" w:hAnsi="Times New Roman" w:cs="Times New Roman"/>
        </w:rPr>
      </w:pPr>
      <w:r w:rsidRPr="006E39F1">
        <w:rPr>
          <w:rFonts w:ascii="Times New Roman" w:hAnsi="Times New Roman" w:cs="Times New Roman"/>
        </w:rPr>
        <w:t>Committee member:</w:t>
      </w:r>
      <w:r w:rsidR="00CC20C5" w:rsidRPr="006E39F1">
        <w:rPr>
          <w:rFonts w:ascii="Times New Roman" w:hAnsi="Times New Roman" w:cs="Times New Roman"/>
        </w:rPr>
        <w:t xml:space="preserve"> How can you stop the use of AI in an online course? </w:t>
      </w:r>
      <w:r w:rsidR="002017E1" w:rsidRPr="006E39F1">
        <w:rPr>
          <w:rFonts w:ascii="Times New Roman" w:hAnsi="Times New Roman" w:cs="Times New Roman"/>
        </w:rPr>
        <w:t xml:space="preserve">There is an increasing divergence in the student experience between in-person and online courses. </w:t>
      </w:r>
      <w:r w:rsidR="005A6CD2" w:rsidRPr="006E39F1">
        <w:rPr>
          <w:rFonts w:ascii="Times New Roman" w:hAnsi="Times New Roman" w:cs="Times New Roman"/>
        </w:rPr>
        <w:t>Could we c</w:t>
      </w:r>
      <w:r w:rsidR="00971CB2" w:rsidRPr="006E39F1">
        <w:rPr>
          <w:rFonts w:ascii="Times New Roman" w:hAnsi="Times New Roman" w:cs="Times New Roman"/>
        </w:rPr>
        <w:t xml:space="preserve">onsider using testing centers for online courses? </w:t>
      </w:r>
    </w:p>
    <w:p w14:paraId="5EA974C5" w14:textId="5B4CF42C" w:rsidR="00AE07B1" w:rsidRPr="006E39F1" w:rsidRDefault="00AE07B1" w:rsidP="009B3828">
      <w:pPr>
        <w:pStyle w:val="ListParagraph"/>
        <w:numPr>
          <w:ilvl w:val="2"/>
          <w:numId w:val="3"/>
        </w:numPr>
        <w:rPr>
          <w:rFonts w:ascii="Times New Roman" w:hAnsi="Times New Roman" w:cs="Times New Roman"/>
        </w:rPr>
      </w:pPr>
      <w:r w:rsidRPr="006E39F1">
        <w:rPr>
          <w:rFonts w:ascii="Times New Roman" w:hAnsi="Times New Roman" w:cs="Times New Roman"/>
        </w:rPr>
        <w:t xml:space="preserve">Committee member: You currently cannot get DL designation for a course if anything requires in-person attendance; then it becomes hybrid. Also, many online students are not local, and accommodations can complicate things. </w:t>
      </w:r>
    </w:p>
    <w:p w14:paraId="20CCAF5F" w14:textId="6231213D" w:rsidR="00AE07B1" w:rsidRPr="006E39F1" w:rsidRDefault="00971CB2" w:rsidP="009B3828">
      <w:pPr>
        <w:pStyle w:val="ListParagraph"/>
        <w:numPr>
          <w:ilvl w:val="1"/>
          <w:numId w:val="3"/>
        </w:numPr>
        <w:rPr>
          <w:rFonts w:ascii="Times New Roman" w:hAnsi="Times New Roman" w:cs="Times New Roman"/>
        </w:rPr>
      </w:pPr>
      <w:r w:rsidRPr="006E39F1">
        <w:rPr>
          <w:rFonts w:ascii="Times New Roman" w:hAnsi="Times New Roman" w:cs="Times New Roman"/>
        </w:rPr>
        <w:t xml:space="preserve">Martin: The provost is concerned about the number </w:t>
      </w:r>
      <w:r w:rsidR="00AB55B9" w:rsidRPr="006E39F1">
        <w:rPr>
          <w:rFonts w:ascii="Times New Roman" w:hAnsi="Times New Roman" w:cs="Times New Roman"/>
        </w:rPr>
        <w:t xml:space="preserve">of GE credit hours being generated by asynchronous online </w:t>
      </w:r>
      <w:r w:rsidR="00E6521C" w:rsidRPr="006E39F1">
        <w:rPr>
          <w:rFonts w:ascii="Times New Roman" w:hAnsi="Times New Roman" w:cs="Times New Roman"/>
        </w:rPr>
        <w:t>mega courses</w:t>
      </w:r>
      <w:r w:rsidR="00AB55B9" w:rsidRPr="006E39F1">
        <w:rPr>
          <w:rFonts w:ascii="Times New Roman" w:hAnsi="Times New Roman" w:cs="Times New Roman"/>
        </w:rPr>
        <w:t xml:space="preserve">. </w:t>
      </w:r>
      <w:r w:rsidR="00E6521C" w:rsidRPr="006E39F1">
        <w:rPr>
          <w:rFonts w:ascii="Times New Roman" w:hAnsi="Times New Roman" w:cs="Times New Roman"/>
        </w:rPr>
        <w:t>ASC has a solid process for approving online courses. Meanwhile, some colleges are offering nearly thousand-person asynchronous sections of GE courses.</w:t>
      </w:r>
      <w:r w:rsidR="009B3828" w:rsidRPr="006E39F1">
        <w:rPr>
          <w:rFonts w:ascii="Times New Roman" w:hAnsi="Times New Roman" w:cs="Times New Roman"/>
        </w:rPr>
        <w:t xml:space="preserve"> </w:t>
      </w:r>
      <w:r w:rsidR="00AE07B1" w:rsidRPr="006E39F1">
        <w:rPr>
          <w:rFonts w:ascii="Times New Roman" w:hAnsi="Times New Roman" w:cs="Times New Roman"/>
        </w:rPr>
        <w:t xml:space="preserve">David Horn has spoken to the provost about the disadvantages of </w:t>
      </w:r>
      <w:r w:rsidR="00735D7E" w:rsidRPr="006E39F1">
        <w:rPr>
          <w:rFonts w:ascii="Times New Roman" w:hAnsi="Times New Roman" w:cs="Times New Roman"/>
        </w:rPr>
        <w:t xml:space="preserve">these large, online GE courses to ASC. If you are on the AI working group and have updates, please continue to share with this group. </w:t>
      </w:r>
    </w:p>
    <w:p w14:paraId="499E2CE2" w14:textId="77777777" w:rsidR="002F4E2A" w:rsidRPr="006E39F1" w:rsidRDefault="002F4E2A" w:rsidP="002F4E2A">
      <w:pPr>
        <w:pStyle w:val="ListParagraph"/>
        <w:numPr>
          <w:ilvl w:val="0"/>
          <w:numId w:val="3"/>
        </w:numPr>
        <w:rPr>
          <w:rFonts w:ascii="Times New Roman" w:hAnsi="Times New Roman" w:cs="Times New Roman"/>
        </w:rPr>
      </w:pPr>
      <w:r w:rsidRPr="006E39F1">
        <w:rPr>
          <w:rFonts w:ascii="Times New Roman" w:hAnsi="Times New Roman" w:cs="Times New Roman"/>
        </w:rPr>
        <w:t>Subcommittee Updates</w:t>
      </w:r>
    </w:p>
    <w:p w14:paraId="55D46F4B" w14:textId="52A57223" w:rsidR="00162FD0" w:rsidRPr="006E39F1" w:rsidRDefault="00162FD0" w:rsidP="00162FD0">
      <w:pPr>
        <w:pStyle w:val="ListParagraph"/>
        <w:numPr>
          <w:ilvl w:val="1"/>
          <w:numId w:val="7"/>
        </w:numPr>
        <w:rPr>
          <w:rFonts w:ascii="Times New Roman" w:hAnsi="Times New Roman" w:cs="Times New Roman"/>
        </w:rPr>
      </w:pPr>
      <w:r w:rsidRPr="006E39F1">
        <w:rPr>
          <w:rFonts w:ascii="Times New Roman" w:hAnsi="Times New Roman" w:cs="Times New Roman"/>
        </w:rPr>
        <w:t>Arts and Humanities Subcommittee 1</w:t>
      </w:r>
    </w:p>
    <w:p w14:paraId="51BE6716"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Chinese 3797 – approved </w:t>
      </w:r>
    </w:p>
    <w:p w14:paraId="3A23F2ED" w14:textId="68370B10" w:rsidR="00162FD0" w:rsidRPr="006E39F1" w:rsidRDefault="00162FD0" w:rsidP="00162FD0">
      <w:pPr>
        <w:pStyle w:val="ListParagraph"/>
        <w:numPr>
          <w:ilvl w:val="1"/>
          <w:numId w:val="8"/>
        </w:numPr>
        <w:rPr>
          <w:rFonts w:ascii="Times New Roman" w:hAnsi="Times New Roman" w:cs="Times New Roman"/>
        </w:rPr>
      </w:pPr>
      <w:r w:rsidRPr="006E39F1">
        <w:rPr>
          <w:rFonts w:ascii="Times New Roman" w:hAnsi="Times New Roman" w:cs="Times New Roman"/>
        </w:rPr>
        <w:t>Arts and Humanities Subcommittee 2</w:t>
      </w:r>
    </w:p>
    <w:p w14:paraId="72118A85"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AAAS 4344 – approved with contingency </w:t>
      </w:r>
    </w:p>
    <w:p w14:paraId="25FBF5EC"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Comparative Studies 4456 – approved with contingency</w:t>
      </w:r>
    </w:p>
    <w:p w14:paraId="4E161DE6"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Religious Studies 4344 – approved with contingency</w:t>
      </w:r>
    </w:p>
    <w:p w14:paraId="4185DF1D"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AAAS 3770 – approved with contingency</w:t>
      </w:r>
    </w:p>
    <w:p w14:paraId="47CD3E37"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Dance 7406 – approved </w:t>
      </w:r>
    </w:p>
    <w:p w14:paraId="27D8A64A"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Music 5802 – approved</w:t>
      </w:r>
    </w:p>
    <w:p w14:paraId="3D702459"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Music 8828 – approved with contingency </w:t>
      </w:r>
    </w:p>
    <w:p w14:paraId="122F3E68"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Music 7733 – approved</w:t>
      </w:r>
    </w:p>
    <w:p w14:paraId="3979C79D"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Music 7731 – approved</w:t>
      </w:r>
    </w:p>
    <w:p w14:paraId="0FEBB5D8"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Music 6648 – approved</w:t>
      </w:r>
    </w:p>
    <w:p w14:paraId="60ABD0D8"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Spanish 4798.10 – approved with contingency </w:t>
      </w:r>
    </w:p>
    <w:p w14:paraId="3A77E335" w14:textId="3F4DB7B2" w:rsidR="00162FD0" w:rsidRPr="006E39F1" w:rsidRDefault="00162FD0" w:rsidP="00162FD0">
      <w:pPr>
        <w:pStyle w:val="ListParagraph"/>
        <w:numPr>
          <w:ilvl w:val="1"/>
          <w:numId w:val="8"/>
        </w:numPr>
        <w:rPr>
          <w:rFonts w:ascii="Times New Roman" w:hAnsi="Times New Roman" w:cs="Times New Roman"/>
        </w:rPr>
      </w:pPr>
      <w:r w:rsidRPr="006E39F1">
        <w:rPr>
          <w:rFonts w:ascii="Times New Roman" w:hAnsi="Times New Roman" w:cs="Times New Roman"/>
        </w:rPr>
        <w:t xml:space="preserve">Natural and Mathematical Sciences Subcommittee </w:t>
      </w:r>
    </w:p>
    <w:p w14:paraId="245441F2"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Biology 3870 – approved </w:t>
      </w:r>
    </w:p>
    <w:p w14:paraId="4F72A4A6"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Biology 3001 – approved </w:t>
      </w:r>
    </w:p>
    <w:p w14:paraId="7C2355EF" w14:textId="6B1991A1" w:rsidR="00162FD0" w:rsidRPr="006E39F1" w:rsidRDefault="00162FD0" w:rsidP="00162FD0">
      <w:pPr>
        <w:pStyle w:val="ListParagraph"/>
        <w:numPr>
          <w:ilvl w:val="1"/>
          <w:numId w:val="8"/>
        </w:numPr>
        <w:rPr>
          <w:rFonts w:ascii="Times New Roman" w:hAnsi="Times New Roman" w:cs="Times New Roman"/>
        </w:rPr>
      </w:pPr>
      <w:r w:rsidRPr="006E39F1">
        <w:rPr>
          <w:rFonts w:ascii="Times New Roman" w:hAnsi="Times New Roman" w:cs="Times New Roman"/>
        </w:rPr>
        <w:t xml:space="preserve">Social and Behavioral Sciences Subcommittee </w:t>
      </w:r>
    </w:p>
    <w:p w14:paraId="72A4A5A9"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ASC 3600 – approved with contingency</w:t>
      </w:r>
    </w:p>
    <w:p w14:paraId="31743DB4"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Sociology 3555 – approved with contingency </w:t>
      </w:r>
    </w:p>
    <w:p w14:paraId="536FFF3A"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Civics, Law, and Leadership 2110 – approved </w:t>
      </w:r>
    </w:p>
    <w:p w14:paraId="0A9F2FF0" w14:textId="0A673C42" w:rsidR="00162FD0" w:rsidRPr="006E39F1" w:rsidRDefault="00055CBD" w:rsidP="00162FD0">
      <w:pPr>
        <w:pStyle w:val="ListParagraph"/>
        <w:numPr>
          <w:ilvl w:val="1"/>
          <w:numId w:val="8"/>
        </w:numPr>
        <w:rPr>
          <w:rFonts w:ascii="Times New Roman" w:hAnsi="Times New Roman" w:cs="Times New Roman"/>
        </w:rPr>
      </w:pPr>
      <w:r w:rsidRPr="006E39F1">
        <w:rPr>
          <w:rFonts w:ascii="Times New Roman" w:hAnsi="Times New Roman" w:cs="Times New Roman"/>
        </w:rPr>
        <w:t xml:space="preserve">Race, Ethnicity and Gender Diversity Subcommittee </w:t>
      </w:r>
    </w:p>
    <w:p w14:paraId="17FEB1D4"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Music 2250 – approved </w:t>
      </w:r>
    </w:p>
    <w:p w14:paraId="20F8C8DE" w14:textId="160AB1D3" w:rsidR="00162FD0" w:rsidRPr="006E39F1" w:rsidRDefault="00162FD0" w:rsidP="00162FD0">
      <w:pPr>
        <w:pStyle w:val="ListParagraph"/>
        <w:numPr>
          <w:ilvl w:val="1"/>
          <w:numId w:val="8"/>
        </w:numPr>
        <w:rPr>
          <w:rFonts w:ascii="Times New Roman" w:hAnsi="Times New Roman" w:cs="Times New Roman"/>
        </w:rPr>
      </w:pPr>
      <w:r w:rsidRPr="006E39F1">
        <w:rPr>
          <w:rFonts w:ascii="Times New Roman" w:hAnsi="Times New Roman" w:cs="Times New Roman"/>
        </w:rPr>
        <w:t xml:space="preserve">Themes </w:t>
      </w:r>
      <w:r w:rsidR="00055CBD" w:rsidRPr="006E39F1">
        <w:rPr>
          <w:rFonts w:ascii="Times New Roman" w:hAnsi="Times New Roman" w:cs="Times New Roman"/>
        </w:rPr>
        <w:t xml:space="preserve">Subcommittee </w:t>
      </w:r>
      <w:r w:rsidRPr="006E39F1">
        <w:rPr>
          <w:rFonts w:ascii="Times New Roman" w:hAnsi="Times New Roman" w:cs="Times New Roman"/>
        </w:rPr>
        <w:t>1</w:t>
      </w:r>
    </w:p>
    <w:p w14:paraId="033E9EA1"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AAAS 4343 – approved with contingency </w:t>
      </w:r>
    </w:p>
    <w:p w14:paraId="14583FE3"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Religious Studies 4343 – approved with contingency </w:t>
      </w:r>
    </w:p>
    <w:p w14:paraId="1897A031"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Civics, Law, and Leadership 2200 – approved with contingency </w:t>
      </w:r>
    </w:p>
    <w:p w14:paraId="0BE92F2D"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Spanish 3242S – approved </w:t>
      </w:r>
    </w:p>
    <w:p w14:paraId="0BC38DBE"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Ethnic Studies 3242S – approved</w:t>
      </w:r>
    </w:p>
    <w:p w14:paraId="682174EF"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Chinese 3797 – approved with contingency </w:t>
      </w:r>
    </w:p>
    <w:p w14:paraId="668FD687"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French 2803.02 – approved with contingency </w:t>
      </w:r>
    </w:p>
    <w:p w14:paraId="3725F3DA"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 xml:space="preserve">Comparative Studies 4456 – approved with contingency </w:t>
      </w:r>
    </w:p>
    <w:p w14:paraId="4608C0DF" w14:textId="25D02503" w:rsidR="00162FD0" w:rsidRPr="006E39F1" w:rsidRDefault="00162FD0" w:rsidP="00162FD0">
      <w:pPr>
        <w:pStyle w:val="ListParagraph"/>
        <w:numPr>
          <w:ilvl w:val="1"/>
          <w:numId w:val="8"/>
        </w:numPr>
        <w:rPr>
          <w:rFonts w:ascii="Times New Roman" w:hAnsi="Times New Roman" w:cs="Times New Roman"/>
        </w:rPr>
      </w:pPr>
      <w:r w:rsidRPr="006E39F1">
        <w:rPr>
          <w:rFonts w:ascii="Times New Roman" w:hAnsi="Times New Roman" w:cs="Times New Roman"/>
        </w:rPr>
        <w:t xml:space="preserve">Themes </w:t>
      </w:r>
      <w:r w:rsidR="00055CBD" w:rsidRPr="006E39F1">
        <w:rPr>
          <w:rFonts w:ascii="Times New Roman" w:hAnsi="Times New Roman" w:cs="Times New Roman"/>
        </w:rPr>
        <w:t xml:space="preserve">Subcommittee </w:t>
      </w:r>
      <w:r w:rsidRPr="006E39F1">
        <w:rPr>
          <w:rFonts w:ascii="Times New Roman" w:hAnsi="Times New Roman" w:cs="Times New Roman"/>
        </w:rPr>
        <w:t xml:space="preserve">2 </w:t>
      </w:r>
    </w:p>
    <w:p w14:paraId="58DBFA36" w14:textId="77777777" w:rsidR="00162FD0" w:rsidRPr="006E39F1" w:rsidRDefault="00162FD0" w:rsidP="00162FD0">
      <w:pPr>
        <w:pStyle w:val="ListParagraph"/>
        <w:numPr>
          <w:ilvl w:val="2"/>
          <w:numId w:val="8"/>
        </w:numPr>
        <w:rPr>
          <w:rFonts w:ascii="Times New Roman" w:hAnsi="Times New Roman" w:cs="Times New Roman"/>
        </w:rPr>
      </w:pPr>
      <w:r w:rsidRPr="006E39F1">
        <w:rPr>
          <w:rFonts w:ascii="Times New Roman" w:hAnsi="Times New Roman" w:cs="Times New Roman"/>
        </w:rPr>
        <w:t>English 3265 – approved with contingency</w:t>
      </w:r>
    </w:p>
    <w:p w14:paraId="3A867DE6" w14:textId="7CFE008D" w:rsidR="00162FD0" w:rsidRPr="006E39F1" w:rsidRDefault="00162FD0" w:rsidP="00055CBD">
      <w:pPr>
        <w:pStyle w:val="ListParagraph"/>
        <w:numPr>
          <w:ilvl w:val="2"/>
          <w:numId w:val="8"/>
        </w:numPr>
        <w:rPr>
          <w:rFonts w:ascii="Times New Roman" w:hAnsi="Times New Roman" w:cs="Times New Roman"/>
        </w:rPr>
      </w:pPr>
      <w:r w:rsidRPr="006E39F1">
        <w:rPr>
          <w:rFonts w:ascii="Times New Roman" w:hAnsi="Times New Roman" w:cs="Times New Roman"/>
        </w:rPr>
        <w:t xml:space="preserve">CLL 2000 – approved with contingency </w:t>
      </w:r>
    </w:p>
    <w:p w14:paraId="7139511A" w14:textId="77777777" w:rsidR="00DE1ACD" w:rsidRPr="00E20599" w:rsidRDefault="00DE1ACD">
      <w:pPr>
        <w:rPr>
          <w:rFonts w:ascii="Times New Roman" w:hAnsi="Times New Roman" w:cs="Times New Roman"/>
        </w:rPr>
      </w:pPr>
    </w:p>
    <w:sectPr w:rsidR="00DE1ACD" w:rsidRPr="00E20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4148"/>
    <w:multiLevelType w:val="hybridMultilevel"/>
    <w:tmpl w:val="4D7C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A21C8"/>
    <w:multiLevelType w:val="multilevel"/>
    <w:tmpl w:val="3DAC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47AF9"/>
    <w:multiLevelType w:val="multilevel"/>
    <w:tmpl w:val="E912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9A680C"/>
    <w:multiLevelType w:val="hybridMultilevel"/>
    <w:tmpl w:val="E9AA9E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B17273"/>
    <w:multiLevelType w:val="multilevel"/>
    <w:tmpl w:val="DFE0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3599"/>
    <w:multiLevelType w:val="multilevel"/>
    <w:tmpl w:val="D2943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E358C"/>
    <w:multiLevelType w:val="hybridMultilevel"/>
    <w:tmpl w:val="E94CA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61591"/>
    <w:multiLevelType w:val="multilevel"/>
    <w:tmpl w:val="3F44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609550">
    <w:abstractNumId w:val="5"/>
  </w:num>
  <w:num w:numId="2" w16cid:durableId="2137605074">
    <w:abstractNumId w:val="2"/>
  </w:num>
  <w:num w:numId="3" w16cid:durableId="1414086244">
    <w:abstractNumId w:val="3"/>
  </w:num>
  <w:num w:numId="4" w16cid:durableId="618101219">
    <w:abstractNumId w:val="7"/>
  </w:num>
  <w:num w:numId="5" w16cid:durableId="1109156569">
    <w:abstractNumId w:val="4"/>
  </w:num>
  <w:num w:numId="6" w16cid:durableId="1873104798">
    <w:abstractNumId w:val="1"/>
  </w:num>
  <w:num w:numId="7" w16cid:durableId="680279245">
    <w:abstractNumId w:val="6"/>
  </w:num>
  <w:num w:numId="8" w16cid:durableId="97467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2A"/>
    <w:rsid w:val="00055CBD"/>
    <w:rsid w:val="00065FD8"/>
    <w:rsid w:val="00162FD0"/>
    <w:rsid w:val="001700A2"/>
    <w:rsid w:val="00183B05"/>
    <w:rsid w:val="001B3647"/>
    <w:rsid w:val="001C0BB6"/>
    <w:rsid w:val="001C6233"/>
    <w:rsid w:val="002017E1"/>
    <w:rsid w:val="00293546"/>
    <w:rsid w:val="002A7D4E"/>
    <w:rsid w:val="002F4E2A"/>
    <w:rsid w:val="00386DD3"/>
    <w:rsid w:val="003A1AD3"/>
    <w:rsid w:val="003C4E5F"/>
    <w:rsid w:val="00404045"/>
    <w:rsid w:val="00427136"/>
    <w:rsid w:val="00457936"/>
    <w:rsid w:val="00524116"/>
    <w:rsid w:val="00557AEC"/>
    <w:rsid w:val="00594DFE"/>
    <w:rsid w:val="005A6CD2"/>
    <w:rsid w:val="005B02A1"/>
    <w:rsid w:val="00601BFC"/>
    <w:rsid w:val="00626612"/>
    <w:rsid w:val="00696E03"/>
    <w:rsid w:val="006A52CD"/>
    <w:rsid w:val="006E39F1"/>
    <w:rsid w:val="00714FAA"/>
    <w:rsid w:val="00735D7E"/>
    <w:rsid w:val="007859C4"/>
    <w:rsid w:val="007B55FE"/>
    <w:rsid w:val="008B0404"/>
    <w:rsid w:val="008B5A16"/>
    <w:rsid w:val="008C727F"/>
    <w:rsid w:val="0091590E"/>
    <w:rsid w:val="0096467B"/>
    <w:rsid w:val="00971CB2"/>
    <w:rsid w:val="009A007B"/>
    <w:rsid w:val="009B3828"/>
    <w:rsid w:val="009C4836"/>
    <w:rsid w:val="00A07167"/>
    <w:rsid w:val="00A1369D"/>
    <w:rsid w:val="00A56FCD"/>
    <w:rsid w:val="00A60442"/>
    <w:rsid w:val="00A9602D"/>
    <w:rsid w:val="00AB53CB"/>
    <w:rsid w:val="00AB55B9"/>
    <w:rsid w:val="00AC536D"/>
    <w:rsid w:val="00AE07B1"/>
    <w:rsid w:val="00B43C9F"/>
    <w:rsid w:val="00B55EA0"/>
    <w:rsid w:val="00B96E68"/>
    <w:rsid w:val="00BE3197"/>
    <w:rsid w:val="00C050A3"/>
    <w:rsid w:val="00C473D2"/>
    <w:rsid w:val="00C62A3B"/>
    <w:rsid w:val="00C6302A"/>
    <w:rsid w:val="00C80F16"/>
    <w:rsid w:val="00CA0895"/>
    <w:rsid w:val="00CC20C5"/>
    <w:rsid w:val="00D46279"/>
    <w:rsid w:val="00DA4E23"/>
    <w:rsid w:val="00DB6420"/>
    <w:rsid w:val="00DC4CB0"/>
    <w:rsid w:val="00DE1ACD"/>
    <w:rsid w:val="00DE7C8E"/>
    <w:rsid w:val="00E20599"/>
    <w:rsid w:val="00E27C4A"/>
    <w:rsid w:val="00E6521C"/>
    <w:rsid w:val="00E7638A"/>
    <w:rsid w:val="00E8020A"/>
    <w:rsid w:val="00F0334F"/>
    <w:rsid w:val="00F03767"/>
    <w:rsid w:val="00F57011"/>
    <w:rsid w:val="00F77E21"/>
    <w:rsid w:val="00F801AD"/>
    <w:rsid w:val="00FB09A7"/>
    <w:rsid w:val="00FF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CEC8"/>
  <w15:chartTrackingRefBased/>
  <w15:docId w15:val="{90D5B4C7-188D-40C2-A462-A13A4FA6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E2A"/>
    <w:rPr>
      <w:rFonts w:eastAsiaTheme="majorEastAsia" w:cstheme="majorBidi"/>
      <w:color w:val="272727" w:themeColor="text1" w:themeTint="D8"/>
    </w:rPr>
  </w:style>
  <w:style w:type="paragraph" w:styleId="Title">
    <w:name w:val="Title"/>
    <w:basedOn w:val="Normal"/>
    <w:next w:val="Normal"/>
    <w:link w:val="TitleChar"/>
    <w:uiPriority w:val="10"/>
    <w:qFormat/>
    <w:rsid w:val="002F4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E2A"/>
    <w:pPr>
      <w:spacing w:before="160"/>
      <w:jc w:val="center"/>
    </w:pPr>
    <w:rPr>
      <w:i/>
      <w:iCs/>
      <w:color w:val="404040" w:themeColor="text1" w:themeTint="BF"/>
    </w:rPr>
  </w:style>
  <w:style w:type="character" w:customStyle="1" w:styleId="QuoteChar">
    <w:name w:val="Quote Char"/>
    <w:basedOn w:val="DefaultParagraphFont"/>
    <w:link w:val="Quote"/>
    <w:uiPriority w:val="29"/>
    <w:rsid w:val="002F4E2A"/>
    <w:rPr>
      <w:i/>
      <w:iCs/>
      <w:color w:val="404040" w:themeColor="text1" w:themeTint="BF"/>
    </w:rPr>
  </w:style>
  <w:style w:type="paragraph" w:styleId="ListParagraph">
    <w:name w:val="List Paragraph"/>
    <w:basedOn w:val="Normal"/>
    <w:uiPriority w:val="34"/>
    <w:qFormat/>
    <w:rsid w:val="002F4E2A"/>
    <w:pPr>
      <w:ind w:left="720"/>
      <w:contextualSpacing/>
    </w:pPr>
  </w:style>
  <w:style w:type="character" w:styleId="IntenseEmphasis">
    <w:name w:val="Intense Emphasis"/>
    <w:basedOn w:val="DefaultParagraphFont"/>
    <w:uiPriority w:val="21"/>
    <w:qFormat/>
    <w:rsid w:val="002F4E2A"/>
    <w:rPr>
      <w:i/>
      <w:iCs/>
      <w:color w:val="0F4761" w:themeColor="accent1" w:themeShade="BF"/>
    </w:rPr>
  </w:style>
  <w:style w:type="paragraph" w:styleId="IntenseQuote">
    <w:name w:val="Intense Quote"/>
    <w:basedOn w:val="Normal"/>
    <w:next w:val="Normal"/>
    <w:link w:val="IntenseQuoteChar"/>
    <w:uiPriority w:val="30"/>
    <w:qFormat/>
    <w:rsid w:val="002F4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E2A"/>
    <w:rPr>
      <w:i/>
      <w:iCs/>
      <w:color w:val="0F4761" w:themeColor="accent1" w:themeShade="BF"/>
    </w:rPr>
  </w:style>
  <w:style w:type="character" w:styleId="IntenseReference">
    <w:name w:val="Intense Reference"/>
    <w:basedOn w:val="DefaultParagraphFont"/>
    <w:uiPriority w:val="32"/>
    <w:qFormat/>
    <w:rsid w:val="002F4E2A"/>
    <w:rPr>
      <w:b/>
      <w:bCs/>
      <w:smallCaps/>
      <w:color w:val="0F4761" w:themeColor="accent1" w:themeShade="BF"/>
      <w:spacing w:val="5"/>
    </w:rPr>
  </w:style>
  <w:style w:type="paragraph" w:styleId="NormalWeb">
    <w:name w:val="Normal (Web)"/>
    <w:basedOn w:val="Normal"/>
    <w:uiPriority w:val="99"/>
    <w:semiHidden/>
    <w:unhideWhenUsed/>
    <w:rsid w:val="00065F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F7650-50EC-4E96-A740-CE7F29D7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3057</Words>
  <Characters>16666</Characters>
  <Application>Microsoft Office Word</Application>
  <DocSecurity>0</DocSecurity>
  <Lines>347</Lines>
  <Paragraphs>152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3</cp:revision>
  <dcterms:created xsi:type="dcterms:W3CDTF">2025-12-05T13:03:00Z</dcterms:created>
  <dcterms:modified xsi:type="dcterms:W3CDTF">2025-12-05T13:16:00Z</dcterms:modified>
</cp:coreProperties>
</file>